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1A0F9B00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1E2916">
        <w:rPr>
          <w:rFonts w:cs="Arial"/>
          <w:sz w:val="24"/>
          <w:szCs w:val="24"/>
        </w:rPr>
        <w:t>4</w:t>
      </w:r>
      <w:r w:rsidR="00592D4D">
        <w:rPr>
          <w:rFonts w:cs="Arial"/>
          <w:sz w:val="24"/>
          <w:szCs w:val="24"/>
        </w:rPr>
        <w:t>-e</w:t>
      </w:r>
      <w:r w:rsidR="00F2448E">
        <w:rPr>
          <w:rFonts w:cs="Arial"/>
          <w:sz w:val="24"/>
          <w:szCs w:val="24"/>
        </w:rPr>
        <w:t>-Bis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F2448E">
        <w:rPr>
          <w:rFonts w:cs="Arial"/>
          <w:color w:val="000000"/>
          <w:sz w:val="24"/>
          <w:szCs w:val="24"/>
        </w:rPr>
        <w:t>3556</w:t>
      </w:r>
    </w:p>
    <w:p w14:paraId="4DB7B010" w14:textId="2BF1F730" w:rsidR="00592D4D" w:rsidRPr="00C51EC1" w:rsidRDefault="00592D4D" w:rsidP="00592D4D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Online, </w:t>
      </w:r>
      <w:r w:rsidR="00F2448E">
        <w:rPr>
          <w:rFonts w:eastAsia="SimSun"/>
          <w:sz w:val="24"/>
          <w:szCs w:val="24"/>
          <w:lang w:eastAsia="zh-CN"/>
        </w:rPr>
        <w:t>20 – 30 April</w:t>
      </w:r>
      <w:r>
        <w:rPr>
          <w:rFonts w:eastAsia="SimSun"/>
          <w:sz w:val="24"/>
          <w:szCs w:val="24"/>
          <w:lang w:eastAsia="zh-CN"/>
        </w:rPr>
        <w:t>, 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51F05439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2448E">
        <w:rPr>
          <w:rFonts w:ascii="Arial" w:hAnsi="Arial"/>
          <w:sz w:val="24"/>
          <w:lang w:val="en-US"/>
        </w:rPr>
        <w:t>6</w:t>
      </w:r>
      <w:r w:rsidR="0045046B">
        <w:rPr>
          <w:rFonts w:ascii="Arial" w:hAnsi="Arial"/>
          <w:sz w:val="24"/>
          <w:lang w:val="en-US"/>
        </w:rPr>
        <w:t>.1.</w:t>
      </w:r>
      <w:r w:rsidR="00DE63C8">
        <w:rPr>
          <w:rFonts w:ascii="Arial" w:hAnsi="Arial"/>
          <w:sz w:val="24"/>
          <w:lang w:val="en-US"/>
        </w:rPr>
        <w:t>5.7</w:t>
      </w:r>
      <w:bookmarkStart w:id="0" w:name="_GoBack"/>
      <w:bookmarkEnd w:id="0"/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B193AC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B46BB9">
        <w:rPr>
          <w:rFonts w:ascii="Arial" w:hAnsi="Arial"/>
          <w:sz w:val="24"/>
          <w:lang w:val="en-US"/>
        </w:rPr>
        <w:t xml:space="preserve">On </w:t>
      </w:r>
      <w:r w:rsidR="00D14ACF">
        <w:rPr>
          <w:rFonts w:ascii="Arial" w:hAnsi="Arial"/>
          <w:sz w:val="24"/>
          <w:lang w:val="en-US"/>
        </w:rPr>
        <w:t>active TCI switching requirements</w:t>
      </w:r>
      <w:r w:rsidR="00B46BB9">
        <w:rPr>
          <w:rFonts w:ascii="Arial" w:hAnsi="Arial"/>
          <w:sz w:val="24"/>
          <w:lang w:val="en-US"/>
        </w:rPr>
        <w:t xml:space="preserve"> in NR-U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44EEE2B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B7C5921" w14:textId="0FF0F039" w:rsidR="00804DAC" w:rsidRDefault="002B4761" w:rsidP="00804DAC">
      <w:pPr>
        <w:rPr>
          <w:lang w:val="en-US"/>
        </w:rPr>
      </w:pPr>
      <w:r>
        <w:rPr>
          <w:lang w:val="en-US"/>
        </w:rPr>
        <w:t>In RAN4#9</w:t>
      </w:r>
      <w:r w:rsidR="00EB6FDC">
        <w:rPr>
          <w:lang w:val="en-US"/>
        </w:rPr>
        <w:t>4-e</w:t>
      </w:r>
      <w:r>
        <w:rPr>
          <w:lang w:val="en-US"/>
        </w:rPr>
        <w:t xml:space="preserve"> meeting, active TCI switching requirements for NR-U</w:t>
      </w:r>
      <w:r w:rsidR="00EB6FDC">
        <w:rPr>
          <w:lang w:val="en-US"/>
        </w:rPr>
        <w:t xml:space="preserve"> were further discussed and the following agreements were captured in</w:t>
      </w:r>
      <w:r>
        <w:rPr>
          <w:lang w:val="en-US"/>
        </w:rPr>
        <w:t xml:space="preserve"> [1]:</w:t>
      </w:r>
    </w:p>
    <w:p w14:paraId="56AE1AC0" w14:textId="12C9A9AE" w:rsidR="002B4761" w:rsidRDefault="00801E3B" w:rsidP="00804DAC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7FEDC19" wp14:editId="5788B7A7">
                <wp:extent cx="5881420" cy="2392878"/>
                <wp:effectExtent l="0" t="0" r="24130" b="2667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23928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07CE1" w14:textId="1032E904" w:rsidR="00916620" w:rsidRDefault="00F8520B" w:rsidP="00801E3B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  <w:r w:rsidRPr="00F8520B">
                              <w:rPr>
                                <w:rFonts w:eastAsia="Batang"/>
                                <w:b/>
                                <w:lang w:eastAsia="zh-CN"/>
                              </w:rPr>
                              <w:t>Active TCI State Switching</w:t>
                            </w:r>
                            <w:r>
                              <w:rPr>
                                <w:rFonts w:eastAsia="Batang"/>
                                <w:b/>
                                <w:lang w:eastAsia="zh-CN"/>
                              </w:rPr>
                              <w:t>:</w:t>
                            </w:r>
                          </w:p>
                          <w:p w14:paraId="53C63968" w14:textId="77777777" w:rsidR="00A45C1B" w:rsidRPr="00A45C1B" w:rsidRDefault="00A45C1B" w:rsidP="00A45C1B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45C1B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Time period in the known state condition for active TCI state switching:</w:t>
                            </w:r>
                          </w:p>
                          <w:p w14:paraId="769522BE" w14:textId="77777777" w:rsidR="00A45C1B" w:rsidRPr="00A45C1B" w:rsidRDefault="00A45C1B" w:rsidP="00A45C1B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45C1B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do not extend the time in the known cell condition in active TCI switching delay requirement</w:t>
                            </w:r>
                          </w:p>
                          <w:p w14:paraId="5262DCAA" w14:textId="77777777" w:rsidR="00A45C1B" w:rsidRPr="00A45C1B" w:rsidRDefault="00A45C1B" w:rsidP="00A45C1B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45C1B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RRC-based: </w:t>
                            </w:r>
                          </w:p>
                          <w:p w14:paraId="35B85986" w14:textId="77777777" w:rsidR="00A45C1B" w:rsidRPr="00A45C1B" w:rsidRDefault="00A45C1B" w:rsidP="00A45C1B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45C1B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FFS: need for RAN2 LS if the UE declares beam failure upon exceeding L1</w:t>
                            </w:r>
                            <w:r w:rsidRPr="00A45C1B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vertAlign w:val="subscript"/>
                                <w:lang w:eastAsia="zh-CN"/>
                              </w:rPr>
                              <w:t>RRC,unknown,max</w:t>
                            </w:r>
                            <w:r w:rsidRPr="00A45C1B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or L2</w:t>
                            </w:r>
                            <w:r w:rsidRPr="00A45C1B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vertAlign w:val="subscript"/>
                                <w:lang w:eastAsia="zh-CN"/>
                              </w:rPr>
                              <w:t>RRC,unknown,max</w:t>
                            </w:r>
                          </w:p>
                          <w:p w14:paraId="7C4F3581" w14:textId="77777777" w:rsidR="00A45C1B" w:rsidRPr="00A45C1B" w:rsidRDefault="00A45C1B" w:rsidP="00A45C1B">
                            <w:pPr>
                              <w:pStyle w:val="ListParagraph"/>
                              <w:numPr>
                                <w:ilvl w:val="0"/>
                                <w:numId w:val="43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45C1B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T</w:t>
                            </w:r>
                            <w:r w:rsidRPr="00A45C1B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A45C1B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(in ms) is the timing between DL data transmission and acknowledgement as specified in TS 38.213. In the event of UE not being able to transmit the acknowledgment due to UL CCA failures: T</w:t>
                            </w:r>
                            <w:r w:rsidRPr="00A45C1B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A45C1B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is extended to also include the time to all next HARQ feedback retransmission opportunities, until the time of its successful transmission, as specified in TS 38.213; no extension of T</w:t>
                            </w:r>
                            <w:r w:rsidRPr="00A45C1B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A45C1B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 xml:space="preserve"> due to UL LBT failures is allowed for channel access category 1</w:t>
                            </w:r>
                          </w:p>
                          <w:p w14:paraId="05C48F2D" w14:textId="77777777" w:rsidR="00A45C1B" w:rsidRPr="00A45C1B" w:rsidRDefault="00A45C1B" w:rsidP="00A45C1B">
                            <w:pPr>
                              <w:pStyle w:val="ListParagraph"/>
                              <w:numPr>
                                <w:ilvl w:val="1"/>
                                <w:numId w:val="43"/>
                              </w:numPr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45C1B">
                              <w:rPr>
                                <w:rFonts w:eastAsia="Batang"/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The term “channel access category 1” needs to be aligned with RAN1 terminology (e.g., in TS 37.213)</w:t>
                            </w:r>
                          </w:p>
                          <w:p w14:paraId="0C21F215" w14:textId="77777777" w:rsidR="00F8520B" w:rsidRPr="009C5EB9" w:rsidRDefault="00F8520B" w:rsidP="00801E3B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7FEDC1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188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ONzIwIAAEUEAAAOAAAAZHJzL2Uyb0RvYy54bWysU9uO0zAQfUfiHyy/07ShZdOo6WrpUoS0&#10;XKRdPsBxnMbC9hjbbVK+nrHTLRHwhMiDZXvGJ2fOmdncDlqRk3BegqnoYjanRBgOjTSHin592r8q&#10;KPGBmYYpMKKiZ+Hp7fbli01vS5FDB6oRjiCI8WVvK9qFYMss87wTmvkZWGEw2ILTLODRHbLGsR7R&#10;tcry+fxN1oNrrAMuvMfb+zFItwm/bQUPn9vWi0BURZFbSKtLax3XbLth5cEx20l+ocH+gYVm0uBP&#10;r1D3LDBydPIPKC25Aw9tmHHQGbSt5CLVgNUs5r9V89gxK1ItKI63V5n8/4Pln05fHJENekeJYRot&#10;ehJDIG9hIIuoTm99iUmPFtPCgNcxM1bq7QPwb54Y2HXMHMSdc9B3gjXILr3MJk9HHB9B6v4jNPgb&#10;dgyQgIbW6QiIYhBER5fOV2ciFY6Xq6JYLHMMcYzlr9d5cVNEdhkrn59b58N7AZrETUUdWp/g2enB&#10;hzH1OSXRByWbvVQqHdyh3ilHTgzbZJ++C7qfpilD+oquV/lqVGAa81OIefr+BqFlwH5XUle0uCax&#10;Mur2zjSpGwOTatxjdcpgkVHIqN2oYhjq4WJMDc0ZJXUw9jXOIW46cD8o6bGnK+q/H5kTlKgPBm1Z&#10;L5bLOATpsFzdREHdNFJPI8xwhKpooGTc7kIanCiYgTu0r5VJ2EhvZHLhir2arLnMVRyG6Tll/Zr+&#10;7U8AAAD//wMAUEsDBBQABgAIAAAAIQCiPHF/3QAAAAUBAAAPAAAAZHJzL2Rvd25yZXYueG1sTI/B&#10;TsMwEETvSPyDtZW4oNYhRWmaxqkQEghupa3g6sbbJMJeB9tNw99juNDLSqMZzbwt16PRbEDnO0sC&#10;7mYJMKTaqo4aAfvd0zQH5oMkJbUlFPCNHtbV9VUpC2XP9IbDNjQslpAvpIA2hL7g3NctGulntkeK&#10;3tE6I0OUruHKyXMsN5qnSZJxIzuKC63s8bHF+nN7MgLy+5fhw7/ON+91dtTLcLsYnr+cEDeT8WEF&#10;LOAY/sPwix/RoYpMB3si5ZkWEB8Jfzd6yzRLgR0EzBdZDrwq+SV99QMAAP//AwBQSwECLQAUAAYA&#10;CAAAACEAtoM4kv4AAADhAQAAEwAAAAAAAAAAAAAAAAAAAAAAW0NvbnRlbnRfVHlwZXNdLnhtbFBL&#10;AQItABQABgAIAAAAIQA4/SH/1gAAAJQBAAALAAAAAAAAAAAAAAAAAC8BAABfcmVscy8ucmVsc1BL&#10;AQItABQABgAIAAAAIQCgRONzIwIAAEUEAAAOAAAAAAAAAAAAAAAAAC4CAABkcnMvZTJvRG9jLnht&#10;bFBLAQItABQABgAIAAAAIQCiPHF/3QAAAAUBAAAPAAAAAAAAAAAAAAAAAH0EAABkcnMvZG93bnJl&#10;di54bWxQSwUGAAAAAAQABADzAAAAhwUAAAAA&#10;">
                <v:textbox>
                  <w:txbxContent>
                    <w:p w14:paraId="09007CE1" w14:textId="1032E904" w:rsidR="00916620" w:rsidRDefault="00F8520B" w:rsidP="00801E3B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  <w:r w:rsidRPr="00F8520B">
                        <w:rPr>
                          <w:rFonts w:eastAsia="Batang"/>
                          <w:b/>
                          <w:lang w:eastAsia="zh-CN"/>
                        </w:rPr>
                        <w:t>Active TCI State Switching</w:t>
                      </w:r>
                      <w:r>
                        <w:rPr>
                          <w:rFonts w:eastAsia="Batang"/>
                          <w:b/>
                          <w:lang w:eastAsia="zh-CN"/>
                        </w:rPr>
                        <w:t>:</w:t>
                      </w:r>
                    </w:p>
                    <w:p w14:paraId="53C63968" w14:textId="77777777" w:rsidR="00A45C1B" w:rsidRPr="00A45C1B" w:rsidRDefault="00A45C1B" w:rsidP="00A45C1B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Time period in the known state condition for active TCI state switching:</w:t>
                      </w:r>
                    </w:p>
                    <w:p w14:paraId="769522BE" w14:textId="77777777" w:rsidR="00A45C1B" w:rsidRPr="00A45C1B" w:rsidRDefault="00A45C1B" w:rsidP="00A45C1B">
                      <w:pPr>
                        <w:pStyle w:val="ListParagraph"/>
                        <w:numPr>
                          <w:ilvl w:val="1"/>
                          <w:numId w:val="43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do not extend the time in the known cell condition in active TCI switching delay requirement</w:t>
                      </w:r>
                    </w:p>
                    <w:p w14:paraId="5262DCAA" w14:textId="77777777" w:rsidR="00A45C1B" w:rsidRPr="00A45C1B" w:rsidRDefault="00A45C1B" w:rsidP="00A45C1B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RRC-based: </w:t>
                      </w:r>
                    </w:p>
                    <w:p w14:paraId="35B85986" w14:textId="77777777" w:rsidR="00A45C1B" w:rsidRPr="00A45C1B" w:rsidRDefault="00A45C1B" w:rsidP="00A45C1B">
                      <w:pPr>
                        <w:pStyle w:val="ListParagraph"/>
                        <w:numPr>
                          <w:ilvl w:val="1"/>
                          <w:numId w:val="43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FFS: need for RAN2 LS if the UE declares beam failure u</w:t>
                      </w:r>
                      <w:proofErr w:type="spellStart"/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pon</w:t>
                      </w:r>
                      <w:proofErr w:type="spellEnd"/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exceeding L1</w:t>
                      </w:r>
                      <w:proofErr w:type="gramStart"/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vertAlign w:val="subscript"/>
                          <w:lang w:eastAsia="zh-CN"/>
                        </w:rPr>
                        <w:t>RRC,unknown</w:t>
                      </w:r>
                      <w:proofErr w:type="gramEnd"/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vertAlign w:val="subscript"/>
                          <w:lang w:eastAsia="zh-CN"/>
                        </w:rPr>
                        <w:t>,max</w:t>
                      </w:r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or L2</w:t>
                      </w:r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vertAlign w:val="subscript"/>
                          <w:lang w:eastAsia="zh-CN"/>
                        </w:rPr>
                        <w:t>RRC,unknown,max</w:t>
                      </w:r>
                    </w:p>
                    <w:p w14:paraId="7C4F3581" w14:textId="77777777" w:rsidR="00A45C1B" w:rsidRPr="00A45C1B" w:rsidRDefault="00A45C1B" w:rsidP="00A45C1B">
                      <w:pPr>
                        <w:pStyle w:val="ListParagraph"/>
                        <w:numPr>
                          <w:ilvl w:val="0"/>
                          <w:numId w:val="43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T</w:t>
                      </w:r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vertAlign w:val="subscript"/>
                          <w:lang w:eastAsia="zh-CN"/>
                        </w:rPr>
                        <w:t>HARQ</w:t>
                      </w:r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(in </w:t>
                      </w:r>
                      <w:proofErr w:type="spellStart"/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ms</w:t>
                      </w:r>
                      <w:proofErr w:type="spellEnd"/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) is the timing between DL data transmission and acknowledgement as specified in TS 38.213. In the event of UE not being able to transmit the acknowledgment due to UL CCA failures: T</w:t>
                      </w:r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vertAlign w:val="subscript"/>
                          <w:lang w:eastAsia="zh-CN"/>
                        </w:rPr>
                        <w:t>HARQ</w:t>
                      </w:r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is extended to also include the time to all next HARQ feedback retransmission opportunities, until the time of its successful transmission, as specified in TS 38.213; no extension of T</w:t>
                      </w:r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vertAlign w:val="subscript"/>
                          <w:lang w:eastAsia="zh-CN"/>
                        </w:rPr>
                        <w:t>HARQ</w:t>
                      </w:r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 xml:space="preserve"> due to UL LBT failures is allowed for channel access category 1</w:t>
                      </w:r>
                    </w:p>
                    <w:p w14:paraId="05C48F2D" w14:textId="77777777" w:rsidR="00A45C1B" w:rsidRPr="00A45C1B" w:rsidRDefault="00A45C1B" w:rsidP="00A45C1B">
                      <w:pPr>
                        <w:pStyle w:val="ListParagraph"/>
                        <w:numPr>
                          <w:ilvl w:val="1"/>
                          <w:numId w:val="43"/>
                        </w:numPr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A45C1B">
                        <w:rPr>
                          <w:rFonts w:eastAsia="Batang"/>
                          <w:b/>
                          <w:sz w:val="20"/>
                          <w:szCs w:val="20"/>
                          <w:lang w:eastAsia="zh-CN"/>
                        </w:rPr>
                        <w:t>The term “channel access category 1” needs to be aligned with RAN1 terminology (e.g., in TS 37.213)</w:t>
                      </w:r>
                    </w:p>
                    <w:p w14:paraId="0C21F215" w14:textId="77777777" w:rsidR="00F8520B" w:rsidRPr="009C5EB9" w:rsidRDefault="00F8520B" w:rsidP="00801E3B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D7F4131" w14:textId="34A02E9D" w:rsidR="003F438D" w:rsidRPr="006C4DEA" w:rsidRDefault="003F438D" w:rsidP="00804DAC">
      <w:pPr>
        <w:rPr>
          <w:bCs/>
          <w:lang w:val="en-US"/>
        </w:rPr>
      </w:pPr>
      <w:r>
        <w:rPr>
          <w:lang w:val="en-US"/>
        </w:rPr>
        <w:t xml:space="preserve">In this paper, we discuss </w:t>
      </w:r>
      <w:r w:rsidR="001633D2">
        <w:rPr>
          <w:lang w:val="en-US"/>
        </w:rPr>
        <w:t>some of the</w:t>
      </w:r>
      <w:r>
        <w:rPr>
          <w:lang w:val="en-US"/>
        </w:rPr>
        <w:t xml:space="preserve"> remaining issues</w:t>
      </w:r>
      <w:r w:rsidR="006C4DEA">
        <w:rPr>
          <w:rFonts w:eastAsia="Batang"/>
          <w:bCs/>
          <w:lang w:val="en-US" w:eastAsia="zh-CN"/>
        </w:rPr>
        <w:t>.</w:t>
      </w:r>
    </w:p>
    <w:p w14:paraId="530805C1" w14:textId="069FFDE1" w:rsidR="0005179F" w:rsidRDefault="00DE39EC" w:rsidP="00CC4772">
      <w:pPr>
        <w:pStyle w:val="Heading1"/>
        <w:rPr>
          <w:lang w:val="en-US"/>
        </w:rPr>
      </w:pPr>
      <w:r>
        <w:rPr>
          <w:lang w:val="en-US"/>
        </w:rPr>
        <w:t xml:space="preserve">UE behavior </w:t>
      </w:r>
      <w:r w:rsidR="00980BF6">
        <w:rPr>
          <w:lang w:val="en-US"/>
        </w:rPr>
        <w:t>in failure to switch active TCI state</w:t>
      </w:r>
    </w:p>
    <w:p w14:paraId="42DB61DA" w14:textId="6A99CC01" w:rsidR="00CC4772" w:rsidRDefault="00F54E89" w:rsidP="00CC4772">
      <w:pPr>
        <w:rPr>
          <w:b/>
          <w:bCs/>
          <w:i/>
          <w:iCs/>
          <w:sz w:val="22"/>
          <w:szCs w:val="22"/>
          <w:lang w:val="en-US"/>
        </w:rPr>
      </w:pPr>
      <w:r>
        <w:rPr>
          <w:b/>
          <w:bCs/>
          <w:i/>
          <w:iCs/>
          <w:sz w:val="22"/>
          <w:szCs w:val="22"/>
          <w:lang w:val="en-US"/>
        </w:rPr>
        <w:t xml:space="preserve">RRC-based </w:t>
      </w:r>
      <w:r w:rsidR="006C64D2">
        <w:rPr>
          <w:b/>
          <w:bCs/>
          <w:i/>
          <w:iCs/>
          <w:sz w:val="22"/>
          <w:szCs w:val="22"/>
          <w:lang w:val="en-US"/>
        </w:rPr>
        <w:t>active TC</w:t>
      </w:r>
      <w:r w:rsidR="00AB3D59">
        <w:rPr>
          <w:b/>
          <w:bCs/>
          <w:i/>
          <w:iCs/>
          <w:sz w:val="22"/>
          <w:szCs w:val="22"/>
          <w:lang w:val="en-US"/>
        </w:rPr>
        <w:t xml:space="preserve">I </w:t>
      </w:r>
      <w:r w:rsidR="00954E64">
        <w:rPr>
          <w:b/>
          <w:bCs/>
          <w:i/>
          <w:iCs/>
          <w:sz w:val="22"/>
          <w:szCs w:val="22"/>
          <w:lang w:val="en-US"/>
        </w:rPr>
        <w:t>state switch:</w:t>
      </w:r>
    </w:p>
    <w:p w14:paraId="2D06E2C5" w14:textId="77777777" w:rsidR="00A108EB" w:rsidRDefault="00954E64" w:rsidP="00CC4772">
      <w:pPr>
        <w:rPr>
          <w:lang w:val="en-US"/>
        </w:rPr>
      </w:pPr>
      <w:r>
        <w:rPr>
          <w:lang w:val="en-US"/>
        </w:rPr>
        <w:t xml:space="preserve">In this method, as soon as UE </w:t>
      </w:r>
      <w:r w:rsidR="00C3392A">
        <w:rPr>
          <w:lang w:val="en-US"/>
        </w:rPr>
        <w:t xml:space="preserve">starts processing of the active TCI state switch through RRC command, </w:t>
      </w:r>
      <w:r w:rsidR="00CD057F">
        <w:rPr>
          <w:lang w:val="en-US"/>
        </w:rPr>
        <w:t xml:space="preserve">the </w:t>
      </w:r>
      <w:r w:rsidR="00BE107C">
        <w:rPr>
          <w:lang w:val="en-US"/>
        </w:rPr>
        <w:t xml:space="preserve">information about previous TCI state </w:t>
      </w:r>
      <w:r w:rsidR="00080E2A">
        <w:rPr>
          <w:lang w:val="en-US"/>
        </w:rPr>
        <w:t>is discarded</w:t>
      </w:r>
      <w:r w:rsidR="001C0CB9">
        <w:rPr>
          <w:lang w:val="en-US"/>
        </w:rPr>
        <w:t xml:space="preserve">. </w:t>
      </w:r>
      <w:r w:rsidR="001741B1">
        <w:rPr>
          <w:lang w:val="en-US"/>
        </w:rPr>
        <w:t xml:space="preserve">This is </w:t>
      </w:r>
      <w:r w:rsidR="00A103B5">
        <w:rPr>
          <w:lang w:val="en-US"/>
        </w:rPr>
        <w:t>evident from the following phrase in clause 8.</w:t>
      </w:r>
      <w:r w:rsidR="00A108EB">
        <w:rPr>
          <w:lang w:val="en-US"/>
        </w:rPr>
        <w:t xml:space="preserve">10.5 of TS 38.133: </w:t>
      </w:r>
    </w:p>
    <w:p w14:paraId="500D65C4" w14:textId="6AD1D100" w:rsidR="00A108EB" w:rsidRPr="00715BA9" w:rsidRDefault="00715BA9" w:rsidP="00CC4772">
      <w:pPr>
        <w:rPr>
          <w:i/>
          <w:iCs/>
          <w:lang w:val="en-US"/>
        </w:rPr>
      </w:pPr>
      <w:r w:rsidRPr="00715BA9">
        <w:rPr>
          <w:i/>
          <w:iCs/>
        </w:rPr>
        <w:t>“The UE is not required to receive PDCCH/PDSCH or transmit PUCCH/PUSCH until the end of switching period.”</w:t>
      </w:r>
    </w:p>
    <w:p w14:paraId="2934202D" w14:textId="4FC39CC4" w:rsidR="00954E64" w:rsidRDefault="001C0CB9" w:rsidP="00CC4772">
      <w:pPr>
        <w:rPr>
          <w:lang w:val="en-US"/>
        </w:rPr>
      </w:pPr>
      <w:r>
        <w:rPr>
          <w:lang w:val="en-US"/>
        </w:rPr>
        <w:t xml:space="preserve">Since UE does not retain the information about the configuration of the old TCI state, </w:t>
      </w:r>
      <w:r w:rsidR="004723CE">
        <w:rPr>
          <w:lang w:val="en-US"/>
        </w:rPr>
        <w:t xml:space="preserve">unsuccessful </w:t>
      </w:r>
      <w:r w:rsidR="004E3A65">
        <w:rPr>
          <w:lang w:val="en-US"/>
        </w:rPr>
        <w:t xml:space="preserve">TCI state switch (i.e., exceeding </w:t>
      </w:r>
      <w:r w:rsidR="00AD3562">
        <w:rPr>
          <w:lang w:val="en-US"/>
        </w:rPr>
        <w:t>L</w:t>
      </w:r>
      <w:r w:rsidR="00AD3562" w:rsidRPr="00F14180">
        <w:rPr>
          <w:vertAlign w:val="subscript"/>
          <w:lang w:val="en-US"/>
        </w:rPr>
        <w:t>RRC_known_max</w:t>
      </w:r>
      <w:r w:rsidR="00F14180">
        <w:rPr>
          <w:lang w:val="en-US"/>
        </w:rPr>
        <w:t xml:space="preserve"> in known case or L</w:t>
      </w:r>
      <w:r w:rsidR="004D5073">
        <w:rPr>
          <w:lang w:val="en-US"/>
        </w:rPr>
        <w:t>1</w:t>
      </w:r>
      <w:r w:rsidR="00F14180" w:rsidRPr="004D5073">
        <w:rPr>
          <w:vertAlign w:val="subscript"/>
          <w:lang w:val="en-US"/>
        </w:rPr>
        <w:t>RRC_unknown_</w:t>
      </w:r>
      <w:r w:rsidR="004D5073" w:rsidRPr="004D5073">
        <w:rPr>
          <w:vertAlign w:val="subscript"/>
          <w:lang w:val="en-US"/>
        </w:rPr>
        <w:t>max</w:t>
      </w:r>
      <w:r w:rsidR="004D5073">
        <w:rPr>
          <w:lang w:val="en-US"/>
        </w:rPr>
        <w:t xml:space="preserve"> or L2</w:t>
      </w:r>
      <w:r w:rsidR="004D5073" w:rsidRPr="004D5073">
        <w:rPr>
          <w:vertAlign w:val="subscript"/>
          <w:lang w:val="en-US"/>
        </w:rPr>
        <w:t>RRC_unknown_max</w:t>
      </w:r>
      <w:r w:rsidR="004D5073">
        <w:rPr>
          <w:lang w:val="en-US"/>
        </w:rPr>
        <w:t xml:space="preserve"> in unknown case) </w:t>
      </w:r>
      <w:r w:rsidR="004B4CD1">
        <w:rPr>
          <w:lang w:val="en-US"/>
        </w:rPr>
        <w:t>lea</w:t>
      </w:r>
      <w:r w:rsidR="002B5D01">
        <w:rPr>
          <w:lang w:val="en-US"/>
        </w:rPr>
        <w:t>ds</w:t>
      </w:r>
      <w:r w:rsidR="004B4CD1">
        <w:rPr>
          <w:lang w:val="en-US"/>
        </w:rPr>
        <w:t xml:space="preserve"> UE </w:t>
      </w:r>
      <w:r w:rsidR="002B5D01">
        <w:rPr>
          <w:lang w:val="en-US"/>
        </w:rPr>
        <w:t>to</w:t>
      </w:r>
      <w:r w:rsidR="004B4CD1">
        <w:rPr>
          <w:lang w:val="en-US"/>
        </w:rPr>
        <w:t xml:space="preserve"> declaring </w:t>
      </w:r>
      <w:r w:rsidR="00B55B6C">
        <w:rPr>
          <w:lang w:val="en-US"/>
        </w:rPr>
        <w:t xml:space="preserve">beam failure. </w:t>
      </w:r>
    </w:p>
    <w:p w14:paraId="1E61EB0A" w14:textId="0A8FCFC9" w:rsidR="00C4412F" w:rsidRDefault="00C4412F" w:rsidP="00CC4772">
      <w:pPr>
        <w:rPr>
          <w:lang w:val="en-US"/>
        </w:rPr>
      </w:pPr>
      <w:r>
        <w:rPr>
          <w:lang w:val="en-US"/>
        </w:rPr>
        <w:t xml:space="preserve">It was expressed in the last meeting that UE should continue attempting </w:t>
      </w:r>
      <w:r w:rsidR="002118F4">
        <w:rPr>
          <w:lang w:val="en-US"/>
        </w:rPr>
        <w:t>to switch its active TCI state to the new one despite the lack of reference signal. In our view, this is not a correct or useful behavior</w:t>
      </w:r>
      <w:r w:rsidR="00BD64D0">
        <w:rPr>
          <w:lang w:val="en-US"/>
        </w:rPr>
        <w:t xml:space="preserve">. In the event of persistent DL LBT failure </w:t>
      </w:r>
      <w:r w:rsidR="006514C6">
        <w:rPr>
          <w:lang w:val="en-US"/>
        </w:rPr>
        <w:t>(i.e., exceeding L</w:t>
      </w:r>
      <w:r w:rsidR="006514C6" w:rsidRPr="00F14180">
        <w:rPr>
          <w:vertAlign w:val="subscript"/>
          <w:lang w:val="en-US"/>
        </w:rPr>
        <w:t>RRC_known_max</w:t>
      </w:r>
      <w:r w:rsidR="006514C6">
        <w:rPr>
          <w:lang w:val="en-US"/>
        </w:rPr>
        <w:t xml:space="preserve"> in known case or L1</w:t>
      </w:r>
      <w:r w:rsidR="006514C6" w:rsidRPr="004D5073">
        <w:rPr>
          <w:vertAlign w:val="subscript"/>
          <w:lang w:val="en-US"/>
        </w:rPr>
        <w:t>RRC_unknown_max</w:t>
      </w:r>
      <w:r w:rsidR="006514C6">
        <w:rPr>
          <w:lang w:val="en-US"/>
        </w:rPr>
        <w:t xml:space="preserve"> or L2</w:t>
      </w:r>
      <w:r w:rsidR="006514C6" w:rsidRPr="004D5073">
        <w:rPr>
          <w:vertAlign w:val="subscript"/>
          <w:lang w:val="en-US"/>
        </w:rPr>
        <w:t>RRC_unknown_max</w:t>
      </w:r>
      <w:r w:rsidR="006514C6">
        <w:rPr>
          <w:lang w:val="en-US"/>
        </w:rPr>
        <w:t xml:space="preserve"> in unknown case), </w:t>
      </w:r>
      <w:r w:rsidR="003F24E4">
        <w:rPr>
          <w:lang w:val="en-US"/>
        </w:rPr>
        <w:t>both old and new TCI states are likely suffering from high rate of channel unavailability</w:t>
      </w:r>
      <w:r w:rsidR="00841A50">
        <w:rPr>
          <w:lang w:val="en-US"/>
        </w:rPr>
        <w:t xml:space="preserve">. As such, UE staying in this undesired state and persisting on seeing </w:t>
      </w:r>
      <w:r w:rsidR="00B8796B">
        <w:rPr>
          <w:lang w:val="en-US"/>
        </w:rPr>
        <w:t xml:space="preserve">through </w:t>
      </w:r>
      <w:r w:rsidR="00841A50">
        <w:rPr>
          <w:lang w:val="en-US"/>
        </w:rPr>
        <w:t>the TCI state switch</w:t>
      </w:r>
      <w:r w:rsidR="00B8796B">
        <w:rPr>
          <w:lang w:val="en-US"/>
        </w:rPr>
        <w:t xml:space="preserve"> is not useful. Declaring beam failure is the right behavior as both old and new TCI states are </w:t>
      </w:r>
      <w:r w:rsidR="00142B48">
        <w:rPr>
          <w:lang w:val="en-US"/>
        </w:rPr>
        <w:t>no longer useful anyways.</w:t>
      </w:r>
      <w:r w:rsidR="00841A50">
        <w:rPr>
          <w:lang w:val="en-US"/>
        </w:rPr>
        <w:t xml:space="preserve"> </w:t>
      </w:r>
    </w:p>
    <w:p w14:paraId="45DAB178" w14:textId="77777777" w:rsidR="009602C7" w:rsidRPr="006C31F3" w:rsidRDefault="009F0D3D" w:rsidP="00CC4772">
      <w:pPr>
        <w:rPr>
          <w:b/>
          <w:bCs/>
          <w:lang w:val="en-US"/>
        </w:rPr>
      </w:pPr>
      <w:r w:rsidRPr="006C31F3">
        <w:rPr>
          <w:b/>
          <w:bCs/>
          <w:lang w:val="en-US"/>
        </w:rPr>
        <w:t>Proposal 1.</w:t>
      </w:r>
      <w:r w:rsidR="009602C7" w:rsidRPr="006C31F3">
        <w:rPr>
          <w:b/>
          <w:bCs/>
          <w:lang w:val="en-US"/>
        </w:rPr>
        <w:t xml:space="preserve"> For RRC-based active TCI state switch:</w:t>
      </w:r>
    </w:p>
    <w:p w14:paraId="2039D12A" w14:textId="24F5A06D" w:rsidR="009F0D3D" w:rsidRPr="006C31F3" w:rsidRDefault="008405B5" w:rsidP="009602C7">
      <w:pPr>
        <w:pStyle w:val="ListParagraph"/>
        <w:numPr>
          <w:ilvl w:val="0"/>
          <w:numId w:val="39"/>
        </w:numPr>
        <w:rPr>
          <w:b/>
          <w:bCs/>
          <w:sz w:val="20"/>
          <w:szCs w:val="20"/>
        </w:rPr>
      </w:pPr>
      <w:r w:rsidRPr="006C31F3">
        <w:rPr>
          <w:b/>
          <w:bCs/>
          <w:sz w:val="20"/>
          <w:szCs w:val="20"/>
        </w:rPr>
        <w:lastRenderedPageBreak/>
        <w:t>Upon exceeding L</w:t>
      </w:r>
      <w:r w:rsidRPr="006C31F3">
        <w:rPr>
          <w:b/>
          <w:bCs/>
          <w:sz w:val="20"/>
          <w:szCs w:val="20"/>
          <w:vertAlign w:val="subscript"/>
        </w:rPr>
        <w:t xml:space="preserve">RRC_known_max </w:t>
      </w:r>
      <w:r w:rsidRPr="006C31F3">
        <w:rPr>
          <w:b/>
          <w:bCs/>
          <w:sz w:val="20"/>
          <w:szCs w:val="20"/>
        </w:rPr>
        <w:t xml:space="preserve">in known case, UE may stop </w:t>
      </w:r>
      <w:r w:rsidR="006A6933" w:rsidRPr="006C31F3">
        <w:rPr>
          <w:b/>
          <w:bCs/>
          <w:sz w:val="20"/>
          <w:szCs w:val="20"/>
        </w:rPr>
        <w:t>active TCI state switching procedure and declare beam failure</w:t>
      </w:r>
    </w:p>
    <w:p w14:paraId="7E183E93" w14:textId="07C458A9" w:rsidR="006A6933" w:rsidRPr="006C31F3" w:rsidRDefault="006C31F3" w:rsidP="009602C7">
      <w:pPr>
        <w:pStyle w:val="ListParagraph"/>
        <w:numPr>
          <w:ilvl w:val="0"/>
          <w:numId w:val="39"/>
        </w:numPr>
        <w:rPr>
          <w:b/>
          <w:bCs/>
          <w:sz w:val="20"/>
          <w:szCs w:val="20"/>
        </w:rPr>
      </w:pPr>
      <w:r w:rsidRPr="006C31F3">
        <w:rPr>
          <w:b/>
          <w:bCs/>
          <w:sz w:val="20"/>
          <w:szCs w:val="20"/>
        </w:rPr>
        <w:t>Upon exceeding L1</w:t>
      </w:r>
      <w:r w:rsidRPr="006C31F3">
        <w:rPr>
          <w:b/>
          <w:bCs/>
          <w:sz w:val="20"/>
          <w:szCs w:val="20"/>
          <w:vertAlign w:val="subscript"/>
        </w:rPr>
        <w:t>RRC_unknown_max</w:t>
      </w:r>
      <w:r w:rsidRPr="006C31F3">
        <w:rPr>
          <w:b/>
          <w:bCs/>
          <w:sz w:val="20"/>
          <w:szCs w:val="20"/>
        </w:rPr>
        <w:t xml:space="preserve"> or L2</w:t>
      </w:r>
      <w:r w:rsidRPr="006C31F3">
        <w:rPr>
          <w:b/>
          <w:bCs/>
          <w:sz w:val="20"/>
          <w:szCs w:val="20"/>
          <w:vertAlign w:val="subscript"/>
        </w:rPr>
        <w:t>RRC_unknown_max</w:t>
      </w:r>
      <w:r w:rsidRPr="006C31F3">
        <w:rPr>
          <w:b/>
          <w:bCs/>
          <w:sz w:val="20"/>
          <w:szCs w:val="20"/>
        </w:rPr>
        <w:t xml:space="preserve"> in unknown case, UE may stop active TCI state switching procedure and declare beam failure</w:t>
      </w:r>
    </w:p>
    <w:p w14:paraId="1289F2BC" w14:textId="57464A0A" w:rsidR="006C31F3" w:rsidRDefault="006C31F3" w:rsidP="006C31F3"/>
    <w:p w14:paraId="2777929C" w14:textId="27463EAF" w:rsidR="00C223B3" w:rsidRDefault="00C223B3" w:rsidP="00C223B3">
      <w:pPr>
        <w:rPr>
          <w:b/>
          <w:bCs/>
          <w:i/>
          <w:iCs/>
          <w:sz w:val="22"/>
          <w:szCs w:val="22"/>
          <w:lang w:val="en-US"/>
        </w:rPr>
      </w:pPr>
      <w:r>
        <w:rPr>
          <w:b/>
          <w:bCs/>
          <w:i/>
          <w:iCs/>
          <w:sz w:val="22"/>
          <w:szCs w:val="22"/>
          <w:lang w:val="en-US"/>
        </w:rPr>
        <w:t>MAC-CE-based active TCI state switch:</w:t>
      </w:r>
    </w:p>
    <w:p w14:paraId="1A90CE32" w14:textId="2A15CF4F" w:rsidR="00BA37E9" w:rsidRDefault="00BA37E9" w:rsidP="006C31F3">
      <w:r>
        <w:t>Th</w:t>
      </w:r>
      <w:r w:rsidR="00527195">
        <w:t xml:space="preserve">e R15 requirements for MAC-CE based active TCI state switching is </w:t>
      </w:r>
      <w:r w:rsidR="00243790">
        <w:t xml:space="preserve">clause 8.10.3 of TS 38.133 </w:t>
      </w:r>
      <w:r w:rsidR="0044083F">
        <w:t xml:space="preserve">is not entirely aligned with RAN1 specifications in TS 38.213 and TS 38.214. The delay requirement and the UE behaviour prior to TCI state switch is being discussed in RRM session </w:t>
      </w:r>
      <w:r w:rsidR="006E5FC0">
        <w:t xml:space="preserve">and also in our paper [2]. It is proposed to </w:t>
      </w:r>
      <w:r w:rsidR="00B105DB">
        <w:t>wait for the resolution of this issue</w:t>
      </w:r>
      <w:r w:rsidR="000260C6">
        <w:t xml:space="preserve"> in R15 context before its specification in R16 for NR-U. </w:t>
      </w:r>
    </w:p>
    <w:p w14:paraId="32955824" w14:textId="40708AB9" w:rsidR="00B27CE2" w:rsidRPr="004A072F" w:rsidRDefault="00B27CE2" w:rsidP="006C31F3">
      <w:pPr>
        <w:rPr>
          <w:b/>
          <w:bCs/>
        </w:rPr>
      </w:pPr>
      <w:r w:rsidRPr="006C31F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2.</w:t>
      </w:r>
      <w:r w:rsidRPr="006C31F3">
        <w:rPr>
          <w:b/>
          <w:bCs/>
          <w:lang w:val="en-US"/>
        </w:rPr>
        <w:t xml:space="preserve"> </w:t>
      </w:r>
      <w:r w:rsidR="00666A37">
        <w:rPr>
          <w:b/>
          <w:bCs/>
          <w:lang w:val="en-US"/>
        </w:rPr>
        <w:t xml:space="preserve">RAN4 to wait for further clarification of R15 MAC-CE based active TCI state switching </w:t>
      </w:r>
      <w:r w:rsidR="00113040">
        <w:rPr>
          <w:b/>
          <w:bCs/>
          <w:lang w:val="en-US"/>
        </w:rPr>
        <w:t>requirements before</w:t>
      </w:r>
      <w:r w:rsidR="004A072F">
        <w:rPr>
          <w:b/>
          <w:bCs/>
          <w:lang w:val="en-US"/>
        </w:rPr>
        <w:t xml:space="preserve"> its specification in R16 for NR-U.</w:t>
      </w:r>
    </w:p>
    <w:p w14:paraId="233798E6" w14:textId="192155E1" w:rsidR="00845073" w:rsidRDefault="00845073" w:rsidP="00845073">
      <w:pPr>
        <w:pStyle w:val="Heading1"/>
        <w:rPr>
          <w:lang w:val="en-US" w:eastAsia="zh-CN"/>
        </w:rPr>
      </w:pPr>
      <w:r>
        <w:rPr>
          <w:lang w:val="en-US" w:eastAsia="zh-CN"/>
        </w:rPr>
        <w:t xml:space="preserve">Definition of </w:t>
      </w:r>
      <w:r w:rsidRPr="00845073">
        <w:rPr>
          <w:b/>
          <w:bCs/>
          <w:lang w:val="en-US" w:eastAsia="zh-CN"/>
        </w:rPr>
        <w:t>T</w:t>
      </w:r>
      <w:r w:rsidRPr="00845073">
        <w:rPr>
          <w:b/>
          <w:bCs/>
          <w:vertAlign w:val="subscript"/>
          <w:lang w:val="en-US" w:eastAsia="zh-CN"/>
        </w:rPr>
        <w:t>first-SSB</w:t>
      </w:r>
      <w:r w:rsidR="003A72EA">
        <w:rPr>
          <w:b/>
          <w:bCs/>
          <w:vertAlign w:val="subscript"/>
          <w:lang w:val="en-US" w:eastAsia="zh-CN"/>
        </w:rPr>
        <w:t xml:space="preserve"> </w:t>
      </w:r>
      <w:r w:rsidR="00580ACF">
        <w:rPr>
          <w:b/>
          <w:bCs/>
          <w:vertAlign w:val="subscript"/>
          <w:lang w:val="en-US" w:eastAsia="zh-CN"/>
        </w:rPr>
        <w:t xml:space="preserve"> </w:t>
      </w:r>
    </w:p>
    <w:p w14:paraId="109BA813" w14:textId="5470F63D" w:rsidR="001A3F2A" w:rsidRPr="00580ACF" w:rsidRDefault="00DB17BA" w:rsidP="00580ACF">
      <w:pPr>
        <w:rPr>
          <w:lang w:val="en-US" w:eastAsia="zh-CN"/>
        </w:rPr>
      </w:pPr>
      <w:r>
        <w:rPr>
          <w:lang w:val="en-US" w:eastAsia="zh-CN"/>
        </w:rPr>
        <w:t xml:space="preserve">For the sake of discussion, </w:t>
      </w:r>
      <w:r w:rsidR="004220B0">
        <w:rPr>
          <w:lang w:val="en-US" w:eastAsia="zh-CN"/>
        </w:rPr>
        <w:t xml:space="preserve">the agreement from RAN4#92-Bis on </w:t>
      </w:r>
      <w:r w:rsidR="001A3F2A">
        <w:rPr>
          <w:lang w:val="en-US" w:eastAsia="zh-CN"/>
        </w:rPr>
        <w:t>known RRC-based TCI state switching delay is reproduced here:</w:t>
      </w:r>
    </w:p>
    <w:p w14:paraId="00632D1C" w14:textId="20D47E5D" w:rsidR="003A72EA" w:rsidRPr="003A72EA" w:rsidRDefault="001A3F2A" w:rsidP="003A72EA">
      <w:pPr>
        <w:rPr>
          <w:lang w:val="en-US" w:eastAsia="zh-CN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3007AB9" wp14:editId="63D1C781">
                <wp:extent cx="5881420" cy="1428750"/>
                <wp:effectExtent l="0" t="0" r="2413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142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229210" w14:textId="77777777" w:rsidR="00EB72A4" w:rsidRDefault="00EB72A4" w:rsidP="00EB72A4">
                            <w:pPr>
                              <w:rPr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lang w:eastAsia="zh-CN"/>
                              </w:rPr>
                              <w:t>Switching delay: RRC-based, known</w:t>
                            </w:r>
                          </w:p>
                          <w:p w14:paraId="104A5EC9" w14:textId="77777777" w:rsidR="00EB72A4" w:rsidRPr="00EB72A4" w:rsidRDefault="00EB72A4" w:rsidP="00EB72A4">
                            <w:pPr>
                              <w:numPr>
                                <w:ilvl w:val="0"/>
                                <w:numId w:val="41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360"/>
                              <w:textAlignment w:val="baseline"/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For RRC based TCI state switching, the UE is required to receive PDCCH using the new TCI state in</w:t>
                            </w:r>
                          </w:p>
                          <w:p w14:paraId="1022F8F3" w14:textId="77777777" w:rsidR="00EB72A4" w:rsidRPr="00EB72A4" w:rsidRDefault="00EB72A4" w:rsidP="00EB72A4">
                            <w:pPr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B72A4">
                              <w:rPr>
                                <w:b/>
                                <w:bCs/>
                                <w:lang w:val="sv-SE" w:eastAsia="zh-CN"/>
                              </w:rPr>
                              <w:tab/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slot n + T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x-none" w:eastAsia="zh-CN"/>
                              </w:rPr>
                              <w:t xml:space="preserve">RRC_processing </w:t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 xml:space="preserve"> + TO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x-none" w:eastAsia="zh-CN"/>
                              </w:rPr>
                              <w:t>k</w:t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*(T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x-none" w:eastAsia="zh-CN"/>
                              </w:rPr>
                              <w:t xml:space="preserve">first-SSB </w:t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+ T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x-none" w:eastAsia="zh-CN"/>
                              </w:rPr>
                              <w:t>SSB-proc</w:t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+T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x-none" w:eastAsia="zh-CN"/>
                              </w:rPr>
                              <w:t>SSB</w:t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* L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x-none" w:eastAsia="zh-CN"/>
                              </w:rPr>
                              <w:t>RRC,known</w:t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)</w:t>
                            </w:r>
                          </w:p>
                          <w:p w14:paraId="28B53109" w14:textId="77777777" w:rsidR="00EB72A4" w:rsidRPr="00EB72A4" w:rsidRDefault="00EB72A4" w:rsidP="00EB72A4">
                            <w:pPr>
                              <w:rPr>
                                <w:b/>
                                <w:bCs/>
                                <w:lang w:val="en-US" w:eastAsia="zh-CN"/>
                              </w:rPr>
                            </w:pP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L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en-US" w:eastAsia="zh-CN"/>
                              </w:rPr>
                              <w:t>RRC,known</w:t>
                            </w:r>
                            <w:r w:rsidRPr="00EB72A4">
                              <w:rPr>
                                <w:b/>
                                <w:bCs/>
                                <w:lang w:val="en-US" w:eastAsia="zh-CN"/>
                              </w:rPr>
                              <w:t xml:space="preserve"> </w:t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>≤L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x-none" w:eastAsia="zh-CN"/>
                              </w:rPr>
                              <w:t>RRC,known</w:t>
                            </w:r>
                            <w:r w:rsidRPr="00EB72A4">
                              <w:rPr>
                                <w:b/>
                                <w:bCs/>
                                <w:vertAlign w:val="subscript"/>
                                <w:lang w:val="en-US" w:eastAsia="zh-CN"/>
                              </w:rPr>
                              <w:t>,max</w:t>
                            </w:r>
                            <w:r w:rsidRPr="00EB72A4">
                              <w:rPr>
                                <w:b/>
                                <w:bCs/>
                                <w:lang w:val="en-US" w:eastAsia="zh-CN"/>
                              </w:rPr>
                              <w:t xml:space="preserve"> is</w:t>
                            </w:r>
                            <w:r w:rsidRPr="00EB72A4">
                              <w:rPr>
                                <w:b/>
                                <w:bCs/>
                                <w:lang w:val="x-none" w:eastAsia="zh-CN"/>
                              </w:rPr>
                              <w:t xml:space="preserve"> the corresponding number of SSB occasions not available at the UE due to CCA failure</w:t>
                            </w:r>
                          </w:p>
                          <w:p w14:paraId="4711DACF" w14:textId="77777777" w:rsidR="001A3F2A" w:rsidRPr="009C5EB9" w:rsidRDefault="001A3F2A" w:rsidP="001A3F2A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3007AB9" id="Text Box 2" o:spid="_x0000_s1027" type="#_x0000_t202" style="width:463.1pt;height:11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ZFSJAIAAEwEAAAOAAAAZHJzL2Uyb0RvYy54bWysVNtu2zAMfR+wfxD0vjgxkjU14hRdugwD&#10;ugvQ7gNoWY6FyaImKbGzrx8lp2nQbS/D/CBQInVEnkN6dTN0mh2k8wpNyWeTKWfSCKyV2ZX82+P2&#10;zZIzH8DUoNHIkh+l5zfr169WvS1kji3qWjpGIMYXvS15G4ItssyLVnbgJ2ilIWeDroNAW7fLagc9&#10;oXc6y6fTt1mPrrYOhfSeTu9GJ18n/KaRInxpGi8D0yWn3EJaXVqruGbrFRQ7B7ZV4pQG/EMWHShD&#10;j56h7iAA2zv1G1SnhEOPTZgI7DJsGiVkqoGqmU1fVPPQgpWpFiLH2zNN/v/Bis+Hr46puuQ5ZwY6&#10;kuhRDoG9w4HlkZ3e+oKCHiyFhYGOSeVUqbf3KL57ZnDTgtnJW+ewbyXUlN0s3swuro44PoJU/Ses&#10;6RnYB0xAQ+O6SB2RwQidVDqelYmpCDpcLJezeU4uQT6ylleLpF0GxdN163z4ILFj0Si5I+kTPBzu&#10;fYjpQPEUEl/zqFW9VVqnjdtVG+3YAahNtulLFbwI04b1Jb9e5IuRgb9CTNP3J4hOBep3rbqSL89B&#10;UETe3ps6dWMApUebUtbmRGTkbmQxDNWQFEssR5IrrI/ErMOxvWkcyWjR/eSsp9Yuuf+xByc50x8N&#10;qXM9m8/jLKTNfHEVeXWXnurSA0YQVMkDZ6O5CWl+Im8Gb0nFRiV+nzM5pUwtm2g/jVecict9inr+&#10;Cax/AQAA//8DAFBLAwQUAAYACAAAACEACI9yQ90AAAAFAQAADwAAAGRycy9kb3ducmV2LnhtbEyP&#10;wU7DMBBE70j8g7VIXBB1amhoQ5wKIYHgBm0FVzfeJlHtdbDdNPw9hgu9rDSa0czbcjlawwb0oXMk&#10;YTrJgCHVTnfUSNisn67nwEJUpJVxhBK+McCyOj8rVaHdkd5xWMWGpRIKhZLQxtgXnIe6RavCxPVI&#10;yds5b1VM0jdce3VM5dZwkWU5t6qjtNCqHh9brPerg5Uwv30ZPsPrzdtHne/MIl7dDc9fXsrLi/Hh&#10;HljEMf6H4Rc/oUOVmLbuQDowIyE9Ev9u8hYiF8C2EoSYZcCrkp/SVz8AAAD//wMAUEsBAi0AFAAG&#10;AAgAAAAhALaDOJL+AAAA4QEAABMAAAAAAAAAAAAAAAAAAAAAAFtDb250ZW50X1R5cGVzXS54bWxQ&#10;SwECLQAUAAYACAAAACEAOP0h/9YAAACUAQAACwAAAAAAAAAAAAAAAAAvAQAAX3JlbHMvLnJlbHNQ&#10;SwECLQAUAAYACAAAACEAo7mRUiQCAABMBAAADgAAAAAAAAAAAAAAAAAuAgAAZHJzL2Uyb0RvYy54&#10;bWxQSwECLQAUAAYACAAAACEACI9yQ90AAAAFAQAADwAAAAAAAAAAAAAAAAB+BAAAZHJzL2Rvd25y&#10;ZXYueG1sUEsFBgAAAAAEAAQA8wAAAIgFAAAAAA==&#10;">
                <v:textbox>
                  <w:txbxContent>
                    <w:p w14:paraId="73229210" w14:textId="77777777" w:rsidR="00EB72A4" w:rsidRDefault="00EB72A4" w:rsidP="00EB72A4">
                      <w:pPr>
                        <w:rPr>
                          <w:b/>
                          <w:bCs/>
                          <w:lang w:eastAsia="zh-CN"/>
                        </w:rPr>
                      </w:pPr>
                      <w:r>
                        <w:rPr>
                          <w:b/>
                          <w:bCs/>
                          <w:lang w:eastAsia="zh-CN"/>
                        </w:rPr>
                        <w:t>Switching delay: RRC-based, known</w:t>
                      </w:r>
                    </w:p>
                    <w:p w14:paraId="104A5EC9" w14:textId="77777777" w:rsidR="00EB72A4" w:rsidRPr="00EB72A4" w:rsidRDefault="00EB72A4" w:rsidP="00EB72A4">
                      <w:pPr>
                        <w:numPr>
                          <w:ilvl w:val="0"/>
                          <w:numId w:val="41"/>
                        </w:numPr>
                        <w:tabs>
                          <w:tab w:val="clear" w:pos="720"/>
                          <w:tab w:val="num" w:pos="360"/>
                        </w:tabs>
                        <w:overflowPunct w:val="0"/>
                        <w:autoSpaceDE w:val="0"/>
                        <w:autoSpaceDN w:val="0"/>
                        <w:adjustRightInd w:val="0"/>
                        <w:ind w:left="360"/>
                        <w:textAlignment w:val="baseline"/>
                        <w:rPr>
                          <w:b/>
                          <w:bCs/>
                          <w:lang w:val="en-US" w:eastAsia="zh-CN"/>
                        </w:rPr>
                      </w:pP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For RRC based TCI state switching, the UE is required to receive PDCCH using the new TCI state in</w:t>
                      </w:r>
                    </w:p>
                    <w:p w14:paraId="1022F8F3" w14:textId="77777777" w:rsidR="00EB72A4" w:rsidRPr="00EB72A4" w:rsidRDefault="00EB72A4" w:rsidP="00EB72A4">
                      <w:pPr>
                        <w:rPr>
                          <w:b/>
                          <w:bCs/>
                          <w:lang w:val="en-US" w:eastAsia="zh-CN"/>
                        </w:rPr>
                      </w:pPr>
                      <w:r w:rsidRPr="00EB72A4">
                        <w:rPr>
                          <w:b/>
                          <w:bCs/>
                          <w:lang w:val="sv-SE" w:eastAsia="zh-CN"/>
                        </w:rPr>
                        <w:tab/>
                      </w: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 xml:space="preserve">slot n + </w:t>
                      </w:r>
                      <w:proofErr w:type="spellStart"/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T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x-none" w:eastAsia="zh-CN"/>
                        </w:rPr>
                        <w:t>RRC_processing</w:t>
                      </w:r>
                      <w:proofErr w:type="spellEnd"/>
                      <w:r w:rsidRPr="00EB72A4">
                        <w:rPr>
                          <w:b/>
                          <w:bCs/>
                          <w:vertAlign w:val="subscript"/>
                          <w:lang w:val="x-none" w:eastAsia="zh-CN"/>
                        </w:rPr>
                        <w:t xml:space="preserve"> </w:t>
                      </w: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 xml:space="preserve"> + </w:t>
                      </w:r>
                      <w:proofErr w:type="spellStart"/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TO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x-none" w:eastAsia="zh-CN"/>
                        </w:rPr>
                        <w:t>k</w:t>
                      </w:r>
                      <w:proofErr w:type="spellEnd"/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*(</w:t>
                      </w:r>
                      <w:proofErr w:type="spellStart"/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T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x-none" w:eastAsia="zh-CN"/>
                        </w:rPr>
                        <w:t>first</w:t>
                      </w:r>
                      <w:proofErr w:type="spellEnd"/>
                      <w:r w:rsidRPr="00EB72A4">
                        <w:rPr>
                          <w:b/>
                          <w:bCs/>
                          <w:vertAlign w:val="subscript"/>
                          <w:lang w:val="x-none" w:eastAsia="zh-CN"/>
                        </w:rPr>
                        <w:t xml:space="preserve">-SSB </w:t>
                      </w: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 xml:space="preserve">+ </w:t>
                      </w:r>
                      <w:proofErr w:type="spellStart"/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T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x-none" w:eastAsia="zh-CN"/>
                        </w:rPr>
                        <w:t>SSB-proc</w:t>
                      </w: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+T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x-none" w:eastAsia="zh-CN"/>
                        </w:rPr>
                        <w:t>SSB</w:t>
                      </w:r>
                      <w:proofErr w:type="spellEnd"/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 xml:space="preserve">* </w:t>
                      </w:r>
                      <w:proofErr w:type="spellStart"/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L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x-none" w:eastAsia="zh-CN"/>
                        </w:rPr>
                        <w:t>RRC,known</w:t>
                      </w:r>
                      <w:proofErr w:type="spellEnd"/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)</w:t>
                      </w:r>
                    </w:p>
                    <w:p w14:paraId="28B53109" w14:textId="77777777" w:rsidR="00EB72A4" w:rsidRPr="00EB72A4" w:rsidRDefault="00EB72A4" w:rsidP="00EB72A4">
                      <w:pPr>
                        <w:rPr>
                          <w:b/>
                          <w:bCs/>
                          <w:lang w:val="en-US" w:eastAsia="zh-CN"/>
                        </w:rPr>
                      </w:pPr>
                      <w:proofErr w:type="spellStart"/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L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en-US" w:eastAsia="zh-CN"/>
                        </w:rPr>
                        <w:t>RRC,known</w:t>
                      </w:r>
                      <w:proofErr w:type="spellEnd"/>
                      <w:r w:rsidRPr="00EB72A4">
                        <w:rPr>
                          <w:b/>
                          <w:bCs/>
                          <w:lang w:val="en-US" w:eastAsia="zh-CN"/>
                        </w:rPr>
                        <w:t xml:space="preserve"> </w:t>
                      </w: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≤</w:t>
                      </w:r>
                      <w:proofErr w:type="spellStart"/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>L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x-none" w:eastAsia="zh-CN"/>
                        </w:rPr>
                        <w:t>RRC,known</w:t>
                      </w:r>
                      <w:r w:rsidRPr="00EB72A4">
                        <w:rPr>
                          <w:b/>
                          <w:bCs/>
                          <w:vertAlign w:val="subscript"/>
                          <w:lang w:val="en-US" w:eastAsia="zh-CN"/>
                        </w:rPr>
                        <w:t>,max</w:t>
                      </w:r>
                      <w:proofErr w:type="spellEnd"/>
                      <w:r w:rsidRPr="00EB72A4">
                        <w:rPr>
                          <w:b/>
                          <w:bCs/>
                          <w:lang w:val="en-US" w:eastAsia="zh-CN"/>
                        </w:rPr>
                        <w:t xml:space="preserve"> is</w:t>
                      </w:r>
                      <w:r w:rsidRPr="00EB72A4">
                        <w:rPr>
                          <w:b/>
                          <w:bCs/>
                          <w:lang w:val="x-none" w:eastAsia="zh-CN"/>
                        </w:rPr>
                        <w:t xml:space="preserve"> the corresponding number of SSB occasions not available at the UE due to CCA failure</w:t>
                      </w:r>
                    </w:p>
                    <w:p w14:paraId="4711DACF" w14:textId="77777777" w:rsidR="001A3F2A" w:rsidRPr="009C5EB9" w:rsidRDefault="001A3F2A" w:rsidP="001A3F2A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166967A" w14:textId="1ACF585E" w:rsidR="00CC4772" w:rsidRDefault="00AC1D80" w:rsidP="00CC4772">
      <w:pPr>
        <w:rPr>
          <w:lang w:val="en-US" w:eastAsia="zh-CN"/>
        </w:rPr>
      </w:pPr>
      <w:r>
        <w:rPr>
          <w:lang w:val="en-US" w:eastAsia="zh-CN"/>
        </w:rPr>
        <w:t xml:space="preserve">The formulation of switching delay requirements has </w:t>
      </w:r>
      <w:r w:rsidRPr="00EB72A4">
        <w:rPr>
          <w:b/>
          <w:bCs/>
          <w:lang w:val="x-none" w:eastAsia="zh-CN"/>
        </w:rPr>
        <w:t>T</w:t>
      </w:r>
      <w:r w:rsidRPr="00EB72A4">
        <w:rPr>
          <w:b/>
          <w:bCs/>
          <w:vertAlign w:val="subscript"/>
          <w:lang w:val="x-none" w:eastAsia="zh-CN"/>
        </w:rPr>
        <w:t>first-SSB</w:t>
      </w:r>
      <w:r>
        <w:rPr>
          <w:b/>
          <w:bCs/>
          <w:vertAlign w:val="subscript"/>
          <w:lang w:val="en-US" w:eastAsia="zh-CN"/>
        </w:rPr>
        <w:t xml:space="preserve"> </w:t>
      </w:r>
      <w:r>
        <w:rPr>
          <w:lang w:val="en-US" w:eastAsia="zh-CN"/>
        </w:rPr>
        <w:t xml:space="preserve">as a parameter where it is defined as </w:t>
      </w:r>
      <w:r w:rsidR="00F33B3E">
        <w:rPr>
          <w:lang w:val="en-US" w:eastAsia="zh-CN"/>
        </w:rPr>
        <w:t>“</w:t>
      </w:r>
      <w:r w:rsidR="00F33B3E" w:rsidRPr="00F33B3E">
        <w:rPr>
          <w:i/>
          <w:iCs/>
          <w:lang w:val="en-US" w:eastAsia="zh-CN"/>
        </w:rPr>
        <w:t>time to first SSB transmission</w:t>
      </w:r>
      <w:r w:rsidR="00F33B3E">
        <w:rPr>
          <w:lang w:val="en-US" w:eastAsia="zh-CN"/>
        </w:rPr>
        <w:t xml:space="preserve">” after RRC processing by UE. However, in NR-U, the SSB transmission may </w:t>
      </w:r>
      <w:r w:rsidR="003A6A05">
        <w:rPr>
          <w:lang w:val="en-US" w:eastAsia="zh-CN"/>
        </w:rPr>
        <w:t>fail due to C</w:t>
      </w:r>
      <w:r w:rsidR="000B1DDB">
        <w:rPr>
          <w:lang w:val="en-US" w:eastAsia="zh-CN"/>
        </w:rPr>
        <w:t xml:space="preserve">CA. Yet, </w:t>
      </w:r>
      <w:r w:rsidR="00FD7242">
        <w:rPr>
          <w:lang w:val="en-US" w:eastAsia="zh-CN"/>
        </w:rPr>
        <w:t>since the agreement above already extends the switching delay</w:t>
      </w:r>
      <w:r w:rsidR="00223CF4">
        <w:rPr>
          <w:lang w:val="en-US" w:eastAsia="zh-CN"/>
        </w:rPr>
        <w:t xml:space="preserve"> due to CCA failure</w:t>
      </w:r>
      <w:r w:rsidR="00FF4856">
        <w:rPr>
          <w:lang w:val="en-US" w:eastAsia="zh-CN"/>
        </w:rPr>
        <w:t xml:space="preserve"> by </w:t>
      </w:r>
      <w:r w:rsidR="00FF4856" w:rsidRPr="00EB72A4">
        <w:rPr>
          <w:b/>
          <w:bCs/>
          <w:lang w:val="x-none" w:eastAsia="zh-CN"/>
        </w:rPr>
        <w:t>L</w:t>
      </w:r>
      <w:r w:rsidR="00FF4856" w:rsidRPr="00EB72A4">
        <w:rPr>
          <w:b/>
          <w:bCs/>
          <w:vertAlign w:val="subscript"/>
          <w:lang w:val="x-none" w:eastAsia="zh-CN"/>
        </w:rPr>
        <w:t>RRC,known</w:t>
      </w:r>
      <w:r w:rsidR="00FF4856">
        <w:rPr>
          <w:b/>
          <w:bCs/>
          <w:vertAlign w:val="subscript"/>
          <w:lang w:val="en-US" w:eastAsia="zh-CN"/>
        </w:rPr>
        <w:t xml:space="preserve"> </w:t>
      </w:r>
      <w:r w:rsidR="00045AD4">
        <w:rPr>
          <w:lang w:val="en-US" w:eastAsia="zh-CN"/>
        </w:rPr>
        <w:t xml:space="preserve">, the parameter </w:t>
      </w:r>
      <w:r w:rsidR="00045AD4" w:rsidRPr="00EB72A4">
        <w:rPr>
          <w:b/>
          <w:bCs/>
          <w:lang w:val="x-none" w:eastAsia="zh-CN"/>
        </w:rPr>
        <w:t>T</w:t>
      </w:r>
      <w:r w:rsidR="00045AD4" w:rsidRPr="00EB72A4">
        <w:rPr>
          <w:b/>
          <w:bCs/>
          <w:vertAlign w:val="subscript"/>
          <w:lang w:val="x-none" w:eastAsia="zh-CN"/>
        </w:rPr>
        <w:t>first-SSB</w:t>
      </w:r>
      <w:r w:rsidR="00045AD4">
        <w:rPr>
          <w:b/>
          <w:bCs/>
          <w:vertAlign w:val="subscript"/>
          <w:lang w:val="en-US" w:eastAsia="zh-CN"/>
        </w:rPr>
        <w:t xml:space="preserve"> </w:t>
      </w:r>
      <w:r w:rsidR="00045AD4">
        <w:rPr>
          <w:lang w:val="en-US" w:eastAsia="zh-CN"/>
        </w:rPr>
        <w:t>should be rephrased as “</w:t>
      </w:r>
      <w:r w:rsidR="00045AD4" w:rsidRPr="00045AD4">
        <w:rPr>
          <w:i/>
          <w:iCs/>
          <w:lang w:val="en-US" w:eastAsia="zh-CN"/>
        </w:rPr>
        <w:t>time to first SSB instance</w:t>
      </w:r>
      <w:r w:rsidR="00045AD4">
        <w:rPr>
          <w:lang w:val="en-US" w:eastAsia="zh-CN"/>
        </w:rPr>
        <w:t xml:space="preserve">” after RRC processing by UE. </w:t>
      </w:r>
      <w:r w:rsidR="008F4F01">
        <w:rPr>
          <w:lang w:val="en-US" w:eastAsia="zh-CN"/>
        </w:rPr>
        <w:t xml:space="preserve">In this way, whether the SSB is </w:t>
      </w:r>
      <w:r w:rsidR="00904F34">
        <w:rPr>
          <w:lang w:val="en-US" w:eastAsia="zh-CN"/>
        </w:rPr>
        <w:t>transmitted</w:t>
      </w:r>
      <w:r w:rsidR="008F4F01">
        <w:rPr>
          <w:lang w:val="en-US" w:eastAsia="zh-CN"/>
        </w:rPr>
        <w:t xml:space="preserve"> or not, the formulation of switching delay above </w:t>
      </w:r>
      <w:r w:rsidR="003B73AE">
        <w:rPr>
          <w:lang w:val="en-US" w:eastAsia="zh-CN"/>
        </w:rPr>
        <w:t xml:space="preserve">holds true. </w:t>
      </w:r>
    </w:p>
    <w:p w14:paraId="0BE1CFC9" w14:textId="3BB674E6" w:rsidR="003B73AE" w:rsidRPr="001E2C96" w:rsidRDefault="003B73AE" w:rsidP="00CC4772">
      <w:pPr>
        <w:rPr>
          <w:b/>
          <w:bCs/>
          <w:lang w:val="en-US" w:eastAsia="zh-CN"/>
        </w:rPr>
      </w:pPr>
      <w:r w:rsidRPr="001E2C96">
        <w:rPr>
          <w:b/>
          <w:bCs/>
          <w:lang w:val="en-US" w:eastAsia="zh-CN"/>
        </w:rPr>
        <w:t>Proposal</w:t>
      </w:r>
      <w:r w:rsidR="00EB54B5">
        <w:rPr>
          <w:b/>
          <w:bCs/>
          <w:lang w:val="en-US" w:eastAsia="zh-CN"/>
        </w:rPr>
        <w:t xml:space="preserve"> </w:t>
      </w:r>
      <w:r w:rsidR="00142B48">
        <w:rPr>
          <w:b/>
          <w:bCs/>
          <w:lang w:val="en-US" w:eastAsia="zh-CN"/>
        </w:rPr>
        <w:t>3</w:t>
      </w:r>
      <w:r w:rsidRPr="001E2C96">
        <w:rPr>
          <w:b/>
          <w:bCs/>
          <w:lang w:val="en-US" w:eastAsia="zh-CN"/>
        </w:rPr>
        <w:t xml:space="preserve">. </w:t>
      </w:r>
      <w:r w:rsidR="002C4F34" w:rsidRPr="001E2C96">
        <w:rPr>
          <w:b/>
          <w:bCs/>
          <w:lang w:val="en-US" w:eastAsia="zh-CN"/>
        </w:rPr>
        <w:t xml:space="preserve">Definition of the parameter </w:t>
      </w:r>
      <w:r w:rsidR="002C4F34" w:rsidRPr="001E2C96">
        <w:rPr>
          <w:b/>
          <w:bCs/>
          <w:lang w:val="x-none" w:eastAsia="zh-CN"/>
        </w:rPr>
        <w:t>T</w:t>
      </w:r>
      <w:r w:rsidR="002C4F34" w:rsidRPr="001E2C96">
        <w:rPr>
          <w:b/>
          <w:bCs/>
          <w:vertAlign w:val="subscript"/>
          <w:lang w:val="x-none" w:eastAsia="zh-CN"/>
        </w:rPr>
        <w:t>first-SSB</w:t>
      </w:r>
      <w:r w:rsidR="002C4F34" w:rsidRPr="001E2C96">
        <w:rPr>
          <w:b/>
          <w:bCs/>
          <w:vertAlign w:val="subscript"/>
          <w:lang w:val="en-US" w:eastAsia="zh-CN"/>
        </w:rPr>
        <w:t xml:space="preserve"> </w:t>
      </w:r>
      <w:r w:rsidR="002C4F34" w:rsidRPr="001E2C96">
        <w:rPr>
          <w:b/>
          <w:bCs/>
          <w:lang w:val="en-US" w:eastAsia="zh-CN"/>
        </w:rPr>
        <w:t>should be modified in NR-U from “</w:t>
      </w:r>
      <w:r w:rsidR="002C4F34" w:rsidRPr="001E2C96">
        <w:rPr>
          <w:b/>
          <w:bCs/>
          <w:i/>
          <w:iCs/>
          <w:lang w:val="en-US" w:eastAsia="zh-CN"/>
        </w:rPr>
        <w:t>time to first SSB transmission</w:t>
      </w:r>
      <w:r w:rsidR="002C4F34" w:rsidRPr="001E2C96">
        <w:rPr>
          <w:b/>
          <w:bCs/>
          <w:lang w:val="en-US" w:eastAsia="zh-CN"/>
        </w:rPr>
        <w:t xml:space="preserve">” to </w:t>
      </w:r>
      <w:r w:rsidR="001E2C96" w:rsidRPr="001E2C96">
        <w:rPr>
          <w:b/>
          <w:bCs/>
          <w:lang w:val="en-US" w:eastAsia="zh-CN"/>
        </w:rPr>
        <w:t>“</w:t>
      </w:r>
      <w:r w:rsidR="001E2C96" w:rsidRPr="001E2C96">
        <w:rPr>
          <w:b/>
          <w:bCs/>
          <w:i/>
          <w:iCs/>
          <w:lang w:val="en-US" w:eastAsia="zh-CN"/>
        </w:rPr>
        <w:t>time to first SSB instance</w:t>
      </w:r>
      <w:r w:rsidR="001E2C96" w:rsidRPr="001E2C96">
        <w:rPr>
          <w:b/>
          <w:bCs/>
          <w:lang w:val="en-US" w:eastAsia="zh-CN"/>
        </w:rPr>
        <w:t xml:space="preserve">” to reflect the possibility of transmission failure due to CCA. </w:t>
      </w:r>
    </w:p>
    <w:p w14:paraId="05109B46" w14:textId="646B97BF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149A7E02" w14:textId="77777777" w:rsidR="000B5E4E" w:rsidRPr="006C31F3" w:rsidRDefault="000B5E4E" w:rsidP="000B5E4E">
      <w:pPr>
        <w:rPr>
          <w:b/>
          <w:bCs/>
          <w:lang w:val="en-US"/>
        </w:rPr>
      </w:pPr>
      <w:r w:rsidRPr="006C31F3">
        <w:rPr>
          <w:b/>
          <w:bCs/>
          <w:lang w:val="en-US"/>
        </w:rPr>
        <w:t>Proposal 1. For RRC-based active TCI state switch:</w:t>
      </w:r>
    </w:p>
    <w:p w14:paraId="05E0CBFA" w14:textId="77777777" w:rsidR="000B5E4E" w:rsidRPr="006C31F3" w:rsidRDefault="000B5E4E" w:rsidP="000B5E4E">
      <w:pPr>
        <w:pStyle w:val="ListParagraph"/>
        <w:numPr>
          <w:ilvl w:val="0"/>
          <w:numId w:val="42"/>
        </w:numPr>
        <w:rPr>
          <w:b/>
          <w:bCs/>
          <w:sz w:val="20"/>
          <w:szCs w:val="20"/>
        </w:rPr>
      </w:pPr>
      <w:r w:rsidRPr="006C31F3">
        <w:rPr>
          <w:b/>
          <w:bCs/>
          <w:sz w:val="20"/>
          <w:szCs w:val="20"/>
        </w:rPr>
        <w:t>Upon exceeding L</w:t>
      </w:r>
      <w:r w:rsidRPr="006C31F3">
        <w:rPr>
          <w:b/>
          <w:bCs/>
          <w:sz w:val="20"/>
          <w:szCs w:val="20"/>
          <w:vertAlign w:val="subscript"/>
        </w:rPr>
        <w:t xml:space="preserve">RRC_known_max </w:t>
      </w:r>
      <w:r w:rsidRPr="006C31F3">
        <w:rPr>
          <w:b/>
          <w:bCs/>
          <w:sz w:val="20"/>
          <w:szCs w:val="20"/>
        </w:rPr>
        <w:t>in known case, UE may stop active TCI state switching procedure and declare beam failure</w:t>
      </w:r>
    </w:p>
    <w:p w14:paraId="1BFDE09B" w14:textId="77777777" w:rsidR="000B5E4E" w:rsidRPr="006C31F3" w:rsidRDefault="000B5E4E" w:rsidP="000B5E4E">
      <w:pPr>
        <w:pStyle w:val="ListParagraph"/>
        <w:numPr>
          <w:ilvl w:val="0"/>
          <w:numId w:val="42"/>
        </w:numPr>
        <w:rPr>
          <w:b/>
          <w:bCs/>
          <w:sz w:val="20"/>
          <w:szCs w:val="20"/>
        </w:rPr>
      </w:pPr>
      <w:r w:rsidRPr="006C31F3">
        <w:rPr>
          <w:b/>
          <w:bCs/>
          <w:sz w:val="20"/>
          <w:szCs w:val="20"/>
        </w:rPr>
        <w:t>Upon exceeding L1</w:t>
      </w:r>
      <w:r w:rsidRPr="006C31F3">
        <w:rPr>
          <w:b/>
          <w:bCs/>
          <w:sz w:val="20"/>
          <w:szCs w:val="20"/>
          <w:vertAlign w:val="subscript"/>
        </w:rPr>
        <w:t>RRC_unknown_max</w:t>
      </w:r>
      <w:r w:rsidRPr="006C31F3">
        <w:rPr>
          <w:b/>
          <w:bCs/>
          <w:sz w:val="20"/>
          <w:szCs w:val="20"/>
        </w:rPr>
        <w:t xml:space="preserve"> or L2</w:t>
      </w:r>
      <w:r w:rsidRPr="006C31F3">
        <w:rPr>
          <w:b/>
          <w:bCs/>
          <w:sz w:val="20"/>
          <w:szCs w:val="20"/>
          <w:vertAlign w:val="subscript"/>
        </w:rPr>
        <w:t>RRC_unknown_max</w:t>
      </w:r>
      <w:r w:rsidRPr="006C31F3">
        <w:rPr>
          <w:b/>
          <w:bCs/>
          <w:sz w:val="20"/>
          <w:szCs w:val="20"/>
        </w:rPr>
        <w:t xml:space="preserve"> in unknown case, UE may stop active TCI state switching procedure and declare beam failure</w:t>
      </w:r>
    </w:p>
    <w:p w14:paraId="759E6948" w14:textId="77777777" w:rsidR="000B5E4E" w:rsidRDefault="000B5E4E" w:rsidP="000B5E4E"/>
    <w:p w14:paraId="0EA96BD5" w14:textId="52E4C885" w:rsidR="000B5E4E" w:rsidRPr="00DA55DE" w:rsidRDefault="000B5E4E" w:rsidP="000B5E4E">
      <w:pPr>
        <w:rPr>
          <w:b/>
          <w:bCs/>
        </w:rPr>
      </w:pPr>
      <w:r w:rsidRPr="006C31F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2.</w:t>
      </w:r>
      <w:r w:rsidRPr="006C31F3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RAN4 to wait for further clarification of R15 MAC-CE based active TCI state switching requirements before its specification in R16 for NR-U.</w:t>
      </w:r>
    </w:p>
    <w:p w14:paraId="7A0E614C" w14:textId="1F941F44" w:rsidR="000B5E4E" w:rsidRPr="000B5E4E" w:rsidRDefault="000B5E4E" w:rsidP="00804DAC">
      <w:pPr>
        <w:rPr>
          <w:b/>
          <w:bCs/>
          <w:lang w:val="en-US" w:eastAsia="zh-CN"/>
        </w:rPr>
      </w:pPr>
      <w:r w:rsidRPr="001E2C96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 w:rsidR="00142B48">
        <w:rPr>
          <w:b/>
          <w:bCs/>
          <w:lang w:val="en-US" w:eastAsia="zh-CN"/>
        </w:rPr>
        <w:t>3</w:t>
      </w:r>
      <w:r w:rsidRPr="001E2C96">
        <w:rPr>
          <w:b/>
          <w:bCs/>
          <w:lang w:val="en-US" w:eastAsia="zh-CN"/>
        </w:rPr>
        <w:t xml:space="preserve">. Definition of the parameter </w:t>
      </w:r>
      <w:r w:rsidRPr="001E2C96">
        <w:rPr>
          <w:b/>
          <w:bCs/>
          <w:lang w:val="x-none" w:eastAsia="zh-CN"/>
        </w:rPr>
        <w:t>T</w:t>
      </w:r>
      <w:r w:rsidRPr="001E2C96">
        <w:rPr>
          <w:b/>
          <w:bCs/>
          <w:vertAlign w:val="subscript"/>
          <w:lang w:val="x-none" w:eastAsia="zh-CN"/>
        </w:rPr>
        <w:t>first-SSB</w:t>
      </w:r>
      <w:r w:rsidRPr="001E2C96">
        <w:rPr>
          <w:b/>
          <w:bCs/>
          <w:vertAlign w:val="subscript"/>
          <w:lang w:val="en-US" w:eastAsia="zh-CN"/>
        </w:rPr>
        <w:t xml:space="preserve"> </w:t>
      </w:r>
      <w:r w:rsidRPr="001E2C96">
        <w:rPr>
          <w:b/>
          <w:bCs/>
          <w:lang w:val="en-US" w:eastAsia="zh-CN"/>
        </w:rPr>
        <w:t>should be modified in NR-U from “</w:t>
      </w:r>
      <w:r w:rsidRPr="001E2C96">
        <w:rPr>
          <w:b/>
          <w:bCs/>
          <w:i/>
          <w:iCs/>
          <w:lang w:val="en-US" w:eastAsia="zh-CN"/>
        </w:rPr>
        <w:t>time to first SSB transmission</w:t>
      </w:r>
      <w:r w:rsidRPr="001E2C96">
        <w:rPr>
          <w:b/>
          <w:bCs/>
          <w:lang w:val="en-US" w:eastAsia="zh-CN"/>
        </w:rPr>
        <w:t>” to “</w:t>
      </w:r>
      <w:r w:rsidRPr="001E2C96">
        <w:rPr>
          <w:b/>
          <w:bCs/>
          <w:i/>
          <w:iCs/>
          <w:lang w:val="en-US" w:eastAsia="zh-CN"/>
        </w:rPr>
        <w:t>time to first SSB instance</w:t>
      </w:r>
      <w:r w:rsidRPr="001E2C96">
        <w:rPr>
          <w:b/>
          <w:bCs/>
          <w:lang w:val="en-US" w:eastAsia="zh-CN"/>
        </w:rPr>
        <w:t xml:space="preserve">” to reflect the possibility of transmission failure due to CCA. 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lastRenderedPageBreak/>
        <w:t>References</w:t>
      </w:r>
    </w:p>
    <w:p w14:paraId="0683BDEE" w14:textId="35BDA3DE" w:rsidR="0045046B" w:rsidRDefault="0045046B" w:rsidP="0045046B">
      <w:pPr>
        <w:rPr>
          <w:lang w:val="en-US"/>
        </w:rPr>
      </w:pPr>
      <w:r>
        <w:rPr>
          <w:lang w:val="en-US"/>
        </w:rPr>
        <w:t>[1] R4-</w:t>
      </w:r>
      <w:r w:rsidR="00F8520B">
        <w:rPr>
          <w:lang w:val="en-US"/>
        </w:rPr>
        <w:t>2002336</w:t>
      </w:r>
    </w:p>
    <w:p w14:paraId="47443FC2" w14:textId="38232765" w:rsidR="00E752D9" w:rsidRDefault="00E752D9" w:rsidP="0045046B">
      <w:pPr>
        <w:rPr>
          <w:lang w:val="en-US"/>
        </w:rPr>
      </w:pPr>
      <w:r>
        <w:rPr>
          <w:lang w:val="en-US"/>
        </w:rPr>
        <w:t>[2] R4-2003</w:t>
      </w:r>
      <w:r w:rsidR="00860AB9">
        <w:rPr>
          <w:lang w:val="en-US"/>
        </w:rPr>
        <w:t>574</w:t>
      </w:r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4C815" w14:textId="77777777" w:rsidR="00607761" w:rsidRDefault="00607761">
      <w:r>
        <w:separator/>
      </w:r>
    </w:p>
  </w:endnote>
  <w:endnote w:type="continuationSeparator" w:id="0">
    <w:p w14:paraId="783C902C" w14:textId="77777777" w:rsidR="00607761" w:rsidRDefault="00607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FF2C1" w14:textId="77777777" w:rsidR="00607761" w:rsidRDefault="00607761">
      <w:r>
        <w:separator/>
      </w:r>
    </w:p>
  </w:footnote>
  <w:footnote w:type="continuationSeparator" w:id="0">
    <w:p w14:paraId="2726CBD1" w14:textId="77777777" w:rsidR="00607761" w:rsidRDefault="006077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B29D7"/>
    <w:multiLevelType w:val="hybridMultilevel"/>
    <w:tmpl w:val="A0E288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58378D"/>
    <w:multiLevelType w:val="hybridMultilevel"/>
    <w:tmpl w:val="DADCCBB2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4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B356F6"/>
    <w:multiLevelType w:val="hybridMultilevel"/>
    <w:tmpl w:val="DADCCBB2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CF2A23"/>
    <w:multiLevelType w:val="hybridMultilevel"/>
    <w:tmpl w:val="9868713A"/>
    <w:lvl w:ilvl="0" w:tplc="3BFCC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CD4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7CC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101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E03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2A8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8C8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98B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E8B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D01E6F"/>
    <w:multiLevelType w:val="hybridMultilevel"/>
    <w:tmpl w:val="DADCCBB2"/>
    <w:lvl w:ilvl="0" w:tplc="04090019">
      <w:start w:val="1"/>
      <w:numFmt w:val="lowerLetter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9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5"/>
  </w:num>
  <w:num w:numId="3">
    <w:abstractNumId w:val="37"/>
  </w:num>
  <w:num w:numId="4">
    <w:abstractNumId w:val="14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3"/>
  </w:num>
  <w:num w:numId="8">
    <w:abstractNumId w:val="10"/>
  </w:num>
  <w:num w:numId="9">
    <w:abstractNumId w:val="24"/>
  </w:num>
  <w:num w:numId="10">
    <w:abstractNumId w:val="4"/>
  </w:num>
  <w:num w:numId="11">
    <w:abstractNumId w:val="21"/>
  </w:num>
  <w:num w:numId="12">
    <w:abstractNumId w:val="8"/>
  </w:num>
  <w:num w:numId="13">
    <w:abstractNumId w:val="18"/>
  </w:num>
  <w:num w:numId="14">
    <w:abstractNumId w:val="2"/>
  </w:num>
  <w:num w:numId="15">
    <w:abstractNumId w:val="41"/>
  </w:num>
  <w:num w:numId="16">
    <w:abstractNumId w:val="30"/>
  </w:num>
  <w:num w:numId="17">
    <w:abstractNumId w:val="11"/>
  </w:num>
  <w:num w:numId="18">
    <w:abstractNumId w:val="40"/>
  </w:num>
  <w:num w:numId="19">
    <w:abstractNumId w:val="29"/>
  </w:num>
  <w:num w:numId="20">
    <w:abstractNumId w:val="17"/>
  </w:num>
  <w:num w:numId="21">
    <w:abstractNumId w:val="31"/>
  </w:num>
  <w:num w:numId="22">
    <w:abstractNumId w:val="27"/>
  </w:num>
  <w:num w:numId="23">
    <w:abstractNumId w:val="5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2"/>
  </w:num>
  <w:num w:numId="26">
    <w:abstractNumId w:val="36"/>
  </w:num>
  <w:num w:numId="27">
    <w:abstractNumId w:val="7"/>
  </w:num>
  <w:num w:numId="28">
    <w:abstractNumId w:val="33"/>
  </w:num>
  <w:num w:numId="29">
    <w:abstractNumId w:val="22"/>
  </w:num>
  <w:num w:numId="30">
    <w:abstractNumId w:val="16"/>
  </w:num>
  <w:num w:numId="31">
    <w:abstractNumId w:val="25"/>
  </w:num>
  <w:num w:numId="32">
    <w:abstractNumId w:val="12"/>
  </w:num>
  <w:num w:numId="33">
    <w:abstractNumId w:val="3"/>
  </w:num>
  <w:num w:numId="34">
    <w:abstractNumId w:val="15"/>
  </w:num>
  <w:num w:numId="35">
    <w:abstractNumId w:val="9"/>
  </w:num>
  <w:num w:numId="36">
    <w:abstractNumId w:val="6"/>
  </w:num>
  <w:num w:numId="37">
    <w:abstractNumId w:val="39"/>
  </w:num>
  <w:num w:numId="38">
    <w:abstractNumId w:val="38"/>
  </w:num>
  <w:num w:numId="39">
    <w:abstractNumId w:val="26"/>
  </w:num>
  <w:num w:numId="40">
    <w:abstractNumId w:val="34"/>
  </w:num>
  <w:num w:numId="41">
    <w:abstractNumId w:val="28"/>
  </w:num>
  <w:num w:numId="42">
    <w:abstractNumId w:val="20"/>
  </w:num>
  <w:num w:numId="43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0C6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AD4"/>
    <w:rsid w:val="00045C4E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12E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1E2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9BD"/>
    <w:rsid w:val="00070D86"/>
    <w:rsid w:val="00070ECC"/>
    <w:rsid w:val="00070F90"/>
    <w:rsid w:val="00071127"/>
    <w:rsid w:val="000713C1"/>
    <w:rsid w:val="0007156C"/>
    <w:rsid w:val="000718A5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2A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1BFC"/>
    <w:rsid w:val="00092919"/>
    <w:rsid w:val="00092CBB"/>
    <w:rsid w:val="00092DCA"/>
    <w:rsid w:val="0009351F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546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4DA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DDB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E4E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18A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40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49F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2222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59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48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2F17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44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3D2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1B1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0E75"/>
    <w:rsid w:val="001A12A8"/>
    <w:rsid w:val="001A12AC"/>
    <w:rsid w:val="001A14A3"/>
    <w:rsid w:val="001A14BF"/>
    <w:rsid w:val="001A177A"/>
    <w:rsid w:val="001A1821"/>
    <w:rsid w:val="001A19A7"/>
    <w:rsid w:val="001A1B9D"/>
    <w:rsid w:val="001A1D6F"/>
    <w:rsid w:val="001A21C5"/>
    <w:rsid w:val="001A24F6"/>
    <w:rsid w:val="001A297B"/>
    <w:rsid w:val="001A2F89"/>
    <w:rsid w:val="001A3553"/>
    <w:rsid w:val="001A3F2A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6DEA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0CB9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DCB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7C8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C9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1B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2DC"/>
    <w:rsid w:val="002106A6"/>
    <w:rsid w:val="0021083C"/>
    <w:rsid w:val="00211030"/>
    <w:rsid w:val="002111D4"/>
    <w:rsid w:val="002118F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CF4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D0F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833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68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90"/>
    <w:rsid w:val="002437DD"/>
    <w:rsid w:val="00244113"/>
    <w:rsid w:val="0024412D"/>
    <w:rsid w:val="0024446E"/>
    <w:rsid w:val="00244540"/>
    <w:rsid w:val="0024454E"/>
    <w:rsid w:val="00244866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140"/>
    <w:rsid w:val="00262256"/>
    <w:rsid w:val="00262601"/>
    <w:rsid w:val="00262697"/>
    <w:rsid w:val="0026274B"/>
    <w:rsid w:val="00262B5D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38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D35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6BF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D01"/>
    <w:rsid w:val="002B5E9D"/>
    <w:rsid w:val="002B60B7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34"/>
    <w:rsid w:val="002C4F68"/>
    <w:rsid w:val="002C5212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6D7D"/>
    <w:rsid w:val="002D73F9"/>
    <w:rsid w:val="002D74E0"/>
    <w:rsid w:val="002D7845"/>
    <w:rsid w:val="002D7A31"/>
    <w:rsid w:val="002D7F4B"/>
    <w:rsid w:val="002E0337"/>
    <w:rsid w:val="002E036F"/>
    <w:rsid w:val="002E0997"/>
    <w:rsid w:val="002E0DE3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20B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1D4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A39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625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1C3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6F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384"/>
    <w:rsid w:val="00353542"/>
    <w:rsid w:val="003537B9"/>
    <w:rsid w:val="003537CC"/>
    <w:rsid w:val="00353991"/>
    <w:rsid w:val="00353D2B"/>
    <w:rsid w:val="00353FD7"/>
    <w:rsid w:val="0035401E"/>
    <w:rsid w:val="0035405C"/>
    <w:rsid w:val="0035431F"/>
    <w:rsid w:val="003543D5"/>
    <w:rsid w:val="00354768"/>
    <w:rsid w:val="00354C94"/>
    <w:rsid w:val="00355064"/>
    <w:rsid w:val="0035520C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2F0A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05"/>
    <w:rsid w:val="003A6A23"/>
    <w:rsid w:val="003A6AE8"/>
    <w:rsid w:val="003A6CFC"/>
    <w:rsid w:val="003A6F4F"/>
    <w:rsid w:val="003A72EA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035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3AE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4E4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38D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33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84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6F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0B0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120"/>
    <w:rsid w:val="00426755"/>
    <w:rsid w:val="00426EF4"/>
    <w:rsid w:val="0042751E"/>
    <w:rsid w:val="0042786E"/>
    <w:rsid w:val="0043004F"/>
    <w:rsid w:val="00430098"/>
    <w:rsid w:val="00430512"/>
    <w:rsid w:val="0043063A"/>
    <w:rsid w:val="004307C3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83F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6CA8"/>
    <w:rsid w:val="004470AF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CB8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C41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3CE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511"/>
    <w:rsid w:val="0048062D"/>
    <w:rsid w:val="00480E51"/>
    <w:rsid w:val="004814A7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D50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72F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CD1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28BB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48"/>
    <w:rsid w:val="004D48DE"/>
    <w:rsid w:val="004D4A9E"/>
    <w:rsid w:val="004D4BFB"/>
    <w:rsid w:val="004D4ECC"/>
    <w:rsid w:val="004D4F0D"/>
    <w:rsid w:val="004D5073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A10"/>
    <w:rsid w:val="004E2C5A"/>
    <w:rsid w:val="004E2F05"/>
    <w:rsid w:val="004E302F"/>
    <w:rsid w:val="004E327B"/>
    <w:rsid w:val="004E373A"/>
    <w:rsid w:val="004E37C7"/>
    <w:rsid w:val="004E38EA"/>
    <w:rsid w:val="004E3A65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F28"/>
    <w:rsid w:val="004F6043"/>
    <w:rsid w:val="004F61B6"/>
    <w:rsid w:val="004F6553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30E4"/>
    <w:rsid w:val="005048BE"/>
    <w:rsid w:val="00504C95"/>
    <w:rsid w:val="00504F08"/>
    <w:rsid w:val="00505386"/>
    <w:rsid w:val="00505A3C"/>
    <w:rsid w:val="00505B8A"/>
    <w:rsid w:val="00505C0D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195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37A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ACF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D4D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8BE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013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59F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0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68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07761"/>
    <w:rsid w:val="006102C5"/>
    <w:rsid w:val="0061043C"/>
    <w:rsid w:val="00610ADE"/>
    <w:rsid w:val="00610BFB"/>
    <w:rsid w:val="00610D7B"/>
    <w:rsid w:val="0061129F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C97"/>
    <w:rsid w:val="00614D51"/>
    <w:rsid w:val="00615908"/>
    <w:rsid w:val="00615FCD"/>
    <w:rsid w:val="00616185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5F14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4C6"/>
    <w:rsid w:val="006515A6"/>
    <w:rsid w:val="0065171C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4FDC"/>
    <w:rsid w:val="0066565F"/>
    <w:rsid w:val="00665702"/>
    <w:rsid w:val="006658DA"/>
    <w:rsid w:val="00665CB1"/>
    <w:rsid w:val="00665D5D"/>
    <w:rsid w:val="006660B3"/>
    <w:rsid w:val="00666A37"/>
    <w:rsid w:val="00666D03"/>
    <w:rsid w:val="00666E0F"/>
    <w:rsid w:val="00666F77"/>
    <w:rsid w:val="0066703A"/>
    <w:rsid w:val="006670FD"/>
    <w:rsid w:val="00667671"/>
    <w:rsid w:val="006678FB"/>
    <w:rsid w:val="00667EAC"/>
    <w:rsid w:val="006709A8"/>
    <w:rsid w:val="00670A17"/>
    <w:rsid w:val="00670A29"/>
    <w:rsid w:val="006713F8"/>
    <w:rsid w:val="006715AF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BA3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239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FF4"/>
    <w:rsid w:val="006A5467"/>
    <w:rsid w:val="006A549A"/>
    <w:rsid w:val="006A5D49"/>
    <w:rsid w:val="006A64C8"/>
    <w:rsid w:val="006A6933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F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DEA"/>
    <w:rsid w:val="006C4FC8"/>
    <w:rsid w:val="006C501B"/>
    <w:rsid w:val="006C53A4"/>
    <w:rsid w:val="006C58F9"/>
    <w:rsid w:val="006C5915"/>
    <w:rsid w:val="006C597F"/>
    <w:rsid w:val="006C5A1D"/>
    <w:rsid w:val="006C5F21"/>
    <w:rsid w:val="006C64D2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9F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94D"/>
    <w:rsid w:val="006E5F36"/>
    <w:rsid w:val="006E5FC0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A08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9EB"/>
    <w:rsid w:val="00707A97"/>
    <w:rsid w:val="00707CFB"/>
    <w:rsid w:val="0071022E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9E7"/>
    <w:rsid w:val="00713C4B"/>
    <w:rsid w:val="007140D4"/>
    <w:rsid w:val="0071463C"/>
    <w:rsid w:val="00714694"/>
    <w:rsid w:val="00714876"/>
    <w:rsid w:val="00715912"/>
    <w:rsid w:val="00715BA9"/>
    <w:rsid w:val="00715F4E"/>
    <w:rsid w:val="00716001"/>
    <w:rsid w:val="0071628D"/>
    <w:rsid w:val="007164BE"/>
    <w:rsid w:val="00716A55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2C2E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0C3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037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180"/>
    <w:rsid w:val="007656A9"/>
    <w:rsid w:val="00765749"/>
    <w:rsid w:val="00765C83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6C8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DFC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5E67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54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07B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7AF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40F"/>
    <w:rsid w:val="007E4526"/>
    <w:rsid w:val="007E4DA6"/>
    <w:rsid w:val="007E5508"/>
    <w:rsid w:val="007E57E8"/>
    <w:rsid w:val="007E5C1F"/>
    <w:rsid w:val="007E5C31"/>
    <w:rsid w:val="007E5C35"/>
    <w:rsid w:val="007E5F3A"/>
    <w:rsid w:val="007E6A33"/>
    <w:rsid w:val="007E6ABC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15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BB2"/>
    <w:rsid w:val="008047B5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BF9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5B5"/>
    <w:rsid w:val="0084078A"/>
    <w:rsid w:val="0084182C"/>
    <w:rsid w:val="00841A50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073"/>
    <w:rsid w:val="0084508E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AB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816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18C0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0F9F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4F01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4F34"/>
    <w:rsid w:val="009051A9"/>
    <w:rsid w:val="0090523D"/>
    <w:rsid w:val="0090542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620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1FA7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E64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2C7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BF6"/>
    <w:rsid w:val="00980BF8"/>
    <w:rsid w:val="00980F46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334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05A"/>
    <w:rsid w:val="009F0416"/>
    <w:rsid w:val="009F04B5"/>
    <w:rsid w:val="009F08C1"/>
    <w:rsid w:val="009F0D3D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5B57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3B5"/>
    <w:rsid w:val="00A108EB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C1B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7F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D8C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9F4"/>
    <w:rsid w:val="00A76A93"/>
    <w:rsid w:val="00A77091"/>
    <w:rsid w:val="00A77761"/>
    <w:rsid w:val="00A801D5"/>
    <w:rsid w:val="00A805C3"/>
    <w:rsid w:val="00A808CD"/>
    <w:rsid w:val="00A80E13"/>
    <w:rsid w:val="00A80F7C"/>
    <w:rsid w:val="00A81076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3D59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80"/>
    <w:rsid w:val="00AC1D9E"/>
    <w:rsid w:val="00AC1F9A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62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D52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613"/>
    <w:rsid w:val="00B05E50"/>
    <w:rsid w:val="00B05E81"/>
    <w:rsid w:val="00B05F51"/>
    <w:rsid w:val="00B05F76"/>
    <w:rsid w:val="00B05FBD"/>
    <w:rsid w:val="00B06325"/>
    <w:rsid w:val="00B0656D"/>
    <w:rsid w:val="00B065C3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5DB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7036"/>
    <w:rsid w:val="00B27143"/>
    <w:rsid w:val="00B274E7"/>
    <w:rsid w:val="00B2762A"/>
    <w:rsid w:val="00B2768B"/>
    <w:rsid w:val="00B276BA"/>
    <w:rsid w:val="00B279D1"/>
    <w:rsid w:val="00B27C1E"/>
    <w:rsid w:val="00B27CE2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5B6C"/>
    <w:rsid w:val="00B56138"/>
    <w:rsid w:val="00B569E3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B7C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96B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7E9"/>
    <w:rsid w:val="00BA3F15"/>
    <w:rsid w:val="00BA4712"/>
    <w:rsid w:val="00BA493B"/>
    <w:rsid w:val="00BA49A5"/>
    <w:rsid w:val="00BA4A05"/>
    <w:rsid w:val="00BA4AAF"/>
    <w:rsid w:val="00BA4F05"/>
    <w:rsid w:val="00BA525D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961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4D0"/>
    <w:rsid w:val="00BD6620"/>
    <w:rsid w:val="00BD6A5B"/>
    <w:rsid w:val="00BD6C7D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7C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D5C"/>
    <w:rsid w:val="00C06F5B"/>
    <w:rsid w:val="00C07075"/>
    <w:rsid w:val="00C07250"/>
    <w:rsid w:val="00C07549"/>
    <w:rsid w:val="00C07890"/>
    <w:rsid w:val="00C07E5E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742"/>
    <w:rsid w:val="00C2185A"/>
    <w:rsid w:val="00C221C5"/>
    <w:rsid w:val="00C223B3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92A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12F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294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21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B64"/>
    <w:rsid w:val="00CC3D44"/>
    <w:rsid w:val="00CC3D9C"/>
    <w:rsid w:val="00CC4109"/>
    <w:rsid w:val="00CC417E"/>
    <w:rsid w:val="00CC430F"/>
    <w:rsid w:val="00CC4335"/>
    <w:rsid w:val="00CC4772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4DC"/>
    <w:rsid w:val="00CD0505"/>
    <w:rsid w:val="00CD057F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7D6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ACF"/>
    <w:rsid w:val="00D14C4B"/>
    <w:rsid w:val="00D14C72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81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41CE"/>
    <w:rsid w:val="00D24239"/>
    <w:rsid w:val="00D2455F"/>
    <w:rsid w:val="00D24816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6A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8D5"/>
    <w:rsid w:val="00D64A06"/>
    <w:rsid w:val="00D64A35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62E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6D6C"/>
    <w:rsid w:val="00D8720A"/>
    <w:rsid w:val="00D87F33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5DE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7BA"/>
    <w:rsid w:val="00DB1D80"/>
    <w:rsid w:val="00DB2335"/>
    <w:rsid w:val="00DB29AC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1C2E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7A6"/>
    <w:rsid w:val="00DC4ACC"/>
    <w:rsid w:val="00DC4D9D"/>
    <w:rsid w:val="00DC56BB"/>
    <w:rsid w:val="00DC5754"/>
    <w:rsid w:val="00DC59B5"/>
    <w:rsid w:val="00DC5B73"/>
    <w:rsid w:val="00DC5F6C"/>
    <w:rsid w:val="00DC626B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504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39EC"/>
    <w:rsid w:val="00DE4564"/>
    <w:rsid w:val="00DE4668"/>
    <w:rsid w:val="00DE4CBC"/>
    <w:rsid w:val="00DE593B"/>
    <w:rsid w:val="00DE5E71"/>
    <w:rsid w:val="00DE63C8"/>
    <w:rsid w:val="00DE699A"/>
    <w:rsid w:val="00DE6D06"/>
    <w:rsid w:val="00DE711D"/>
    <w:rsid w:val="00DE71DC"/>
    <w:rsid w:val="00DE7298"/>
    <w:rsid w:val="00DE7557"/>
    <w:rsid w:val="00DE7A12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2F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15A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7D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47B"/>
    <w:rsid w:val="00E205D1"/>
    <w:rsid w:val="00E206A0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D56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6E1"/>
    <w:rsid w:val="00E377D8"/>
    <w:rsid w:val="00E37A0D"/>
    <w:rsid w:val="00E37FCC"/>
    <w:rsid w:val="00E400F4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503C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2D9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75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4B5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6FDC"/>
    <w:rsid w:val="00EB72A4"/>
    <w:rsid w:val="00EB733A"/>
    <w:rsid w:val="00EB75A0"/>
    <w:rsid w:val="00EB762E"/>
    <w:rsid w:val="00EB7719"/>
    <w:rsid w:val="00EB793A"/>
    <w:rsid w:val="00EB7A14"/>
    <w:rsid w:val="00EB7BD4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4FFE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9AC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80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48E"/>
    <w:rsid w:val="00F247E6"/>
    <w:rsid w:val="00F24800"/>
    <w:rsid w:val="00F24A06"/>
    <w:rsid w:val="00F2508C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37B7"/>
    <w:rsid w:val="00F33B3E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A74"/>
    <w:rsid w:val="00F50E04"/>
    <w:rsid w:val="00F50F32"/>
    <w:rsid w:val="00F50F81"/>
    <w:rsid w:val="00F512FB"/>
    <w:rsid w:val="00F51E30"/>
    <w:rsid w:val="00F51F8A"/>
    <w:rsid w:val="00F52395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89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A92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20B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4F2E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353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4AD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242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2FA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880"/>
    <w:rsid w:val="00FE48F8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3F02"/>
    <w:rsid w:val="00FF4856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00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7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78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19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2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3700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20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31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2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FF3DFE-D8E8-42EB-9509-37E49AE55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16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19</cp:revision>
  <cp:lastPrinted>2009-04-22T21:01:00Z</cp:lastPrinted>
  <dcterms:created xsi:type="dcterms:W3CDTF">2020-04-07T01:00:00Z</dcterms:created>
  <dcterms:modified xsi:type="dcterms:W3CDTF">2020-04-10T15:54:00Z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